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21"/>
        <w:jc w:val="center"/>
        <w:spacing w:before="120" w:after="120" w:line="360" w:lineRule="auto"/>
        <w:rPr>
          <w:rFonts w:hint="eastAsia" w:ascii="Arial" w:hAnsi="Arial"/>
          <w:b/>
          <w:bCs/>
          <w:color w:val="000000"/>
          <w:sz w:val="32"/>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b/>
          <w:bCs/>
          <w:color w:val="000000"/>
          <w:sz w:val="32"/>
          <w:szCs w:val="24"/>
          <w:highlight w:val="none"/>
        </w:rPr>
      </w:r>
      <w:r/>
    </w:p>
    <w:p>
      <w:pPr>
        <w:pStyle w:val="821"/>
        <w:ind w:left="1470"/>
        <w:jc w:val="left"/>
        <w:spacing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连云港市第一人民医院病理技术全流程质控系统项目</w:t>
      </w:r>
      <w:r>
        <w:rPr>
          <w:rFonts w:hint="eastAsia" w:ascii="Arial" w:hAnsi="Arial" w:eastAsia="宋体"/>
          <w:b/>
          <w:bCs/>
          <w:color w:val="000000"/>
          <w:sz w:val="32"/>
          <w:szCs w:val="24"/>
          <w:highlight w:val="none"/>
          <w:lang w:eastAsia="zh-CN"/>
        </w:rPr>
      </w:r>
      <w:r/>
    </w:p>
    <w:p>
      <w:pPr>
        <w:pStyle w:val="821"/>
        <w:ind w:left="1470"/>
        <w:jc w:val="left"/>
        <w:spacing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JSZC-320700-HCCG-G2026-0037</w:t>
      </w:r>
      <w:r>
        <w:rPr>
          <w:rFonts w:hint="eastAsia" w:ascii="Arial" w:hAnsi="Arial" w:eastAsia="宋体"/>
          <w:b/>
          <w:bCs/>
          <w:color w:val="000000"/>
          <w:sz w:val="32"/>
          <w:szCs w:val="24"/>
          <w:highlight w:val="none"/>
          <w:lang w:eastAsia="zh-CN"/>
        </w:rPr>
      </w:r>
      <w:r/>
    </w:p>
    <w:p>
      <w:pPr>
        <w:pStyle w:val="8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46"/>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46"/>
        <w:rPr>
          <w:rFonts w:hint="eastAsia"/>
          <w:color w:val="000000"/>
          <w:highlight w:val="none"/>
        </w:rPr>
      </w:pPr>
      <w:r>
        <w:rPr>
          <w:rFonts w:hint="eastAsia"/>
          <w:color w:val="000000"/>
          <w:highlight w:val="none"/>
        </w:rPr>
      </w:r>
      <w:r/>
    </w:p>
    <w:p>
      <w:pPr>
        <w:pStyle w:val="821"/>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21"/>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21"/>
        <w:ind w:left="1470"/>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采   购   人：连云港市第一人民医院</w:t>
      </w:r>
      <w:r>
        <w:rPr>
          <w:rFonts w:hint="eastAsia" w:ascii="Arial" w:hAnsi="Arial"/>
          <w:b/>
          <w:bCs/>
          <w:color w:val="000000"/>
          <w:sz w:val="32"/>
          <w:szCs w:val="24"/>
          <w:highlight w:val="none"/>
        </w:rPr>
      </w:r>
      <w:r/>
    </w:p>
    <w:p>
      <w:pPr>
        <w:pStyle w:val="821"/>
        <w:ind w:left="1470"/>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采购代理机构：江苏鸿成工程项目管理有限公司</w:t>
      </w:r>
      <w:r>
        <w:rPr>
          <w:rFonts w:hint="eastAsia" w:ascii="Arial" w:hAnsi="Arial"/>
          <w:b/>
          <w:bCs/>
          <w:color w:val="000000"/>
          <w:sz w:val="32"/>
          <w:szCs w:val="24"/>
          <w:highlight w:val="none"/>
        </w:rPr>
      </w:r>
      <w:r/>
    </w:p>
    <w:p>
      <w:pPr>
        <w:pStyle w:val="821"/>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u w:val="single"/>
          <w:lang w:val="en-US" w:eastAsia="zh-CN"/>
        </w:rPr>
        <w:t xml:space="preserve">7</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u w:val="single"/>
          <w:lang w:val="en-US" w:eastAsia="zh-CN"/>
        </w:rPr>
        <w:t xml:space="preserve">28</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8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21"/>
        <w:jc w:val="center"/>
        <w:spacing w:line="480" w:lineRule="auto"/>
        <w:rPr>
          <w:rFonts w:hint="eastAsia" w:ascii="黑体" w:hAnsi="Arial"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4150"/>
      <w:r/>
      <w:bookmarkStart w:id="1" w:name="_Toc120614210"/>
      <w:r/>
      <w:bookmarkStart w:id="2" w:name="_Toc523127445"/>
      <w:r/>
      <w:bookmarkStart w:id="3" w:name="_Toc513029200"/>
      <w:r/>
      <w:bookmarkStart w:id="4" w:name="_Toc16938516"/>
      <w:r/>
      <w:bookmarkStart w:id="5" w:name="_Toc20823272"/>
      <w:r/>
      <w:bookmarkStart w:id="6" w:name="_Toc479757206"/>
      <w:r>
        <w:rPr>
          <w:rFonts w:hint="eastAsia" w:ascii="黑体" w:hAnsi="Arial" w:eastAsia="黑体"/>
          <w:b/>
          <w:color w:val="000000"/>
          <w:sz w:val="44"/>
          <w:szCs w:val="21"/>
          <w:highlight w:val="none"/>
        </w:rPr>
      </w:r>
      <w:r/>
    </w:p>
    <w:p>
      <w:pPr>
        <w:pStyle w:val="821"/>
        <w:jc w:val="center"/>
        <w:spacing w:line="360" w:lineRule="auto"/>
        <w:rPr>
          <w:color w:val="000000"/>
          <w:highlight w:val="none"/>
        </w:rPr>
      </w:pPr>
      <w:r>
        <w:rPr>
          <w:rFonts w:hint="eastAsia" w:ascii="黑体" w:hAnsi="Arial" w:eastAsia="黑体"/>
          <w:b/>
          <w:color w:val="000000"/>
          <w:sz w:val="44"/>
          <w:szCs w:val="21"/>
          <w:highlight w:val="none"/>
        </w:rPr>
        <w:t xml:space="preserve">总  目  录</w:t>
      </w:r>
      <w:bookmarkEnd w:id="0"/>
      <w:r/>
      <w:bookmarkStart w:id="7" w:name="_Toc28734"/>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r>
      <w:r/>
    </w:p>
    <w:p>
      <w:pPr>
        <w:pStyle w:val="858"/>
        <w:spacing w:after="0" w:line="360" w:lineRule="auto"/>
        <w:tabs>
          <w:tab w:val="right" w:pos="8953" w:leader="dot"/>
        </w:tabs>
        <w:rPr>
          <w:color w:val="000000"/>
          <w:highlight w:val="none"/>
        </w:rPr>
      </w:pPr>
      <w:r>
        <w:rPr>
          <w:color w:val="000000"/>
          <w:highlight w:val="none"/>
        </w:rPr>
        <w:fldChar w:fldCharType="begin"/>
      </w:r>
      <w:r>
        <w:rPr>
          <w:color w:val="000000"/>
          <w:highlight w:val="none"/>
        </w:rPr>
        <w:instrText xml:space="preserve">TOC \o "1-3"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_Toc25962 </w:instrText>
      </w:r>
      <w:r>
        <w:rPr>
          <w:color w:val="000000"/>
          <w:highlight w:val="none"/>
        </w:rPr>
        <w:fldChar w:fldCharType="separate"/>
      </w:r>
      <w:r>
        <w:rPr>
          <w:rFonts w:hint="eastAsia" w:ascii="黑体" w:hAnsi="Times New Roman" w:eastAsia="黑体"/>
          <w:color w:val="000000"/>
          <w:szCs w:val="44"/>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_Toc25962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fldChar w:fldCharType="end"/>
      </w:r>
      <w:r>
        <w:rPr>
          <w:color w:val="000000"/>
          <w:highlight w:val="none"/>
        </w:rPr>
      </w:r>
      <w:r/>
    </w:p>
    <w:p>
      <w:pPr>
        <w:pStyle w:val="858"/>
        <w:spacing w:after="0" w:line="360" w:lineRule="auto"/>
        <w:tabs>
          <w:tab w:val="right" w:pos="8953" w:leader="dot"/>
        </w:tabs>
        <w:rPr>
          <w:color w:val="000000"/>
          <w:highlight w:val="none"/>
        </w:rPr>
      </w:pPr>
      <w:r>
        <w:rPr>
          <w:color w:val="000000"/>
          <w:highlight w:val="none"/>
        </w:rPr>
        <w:fldChar w:fldCharType="begin"/>
      </w:r>
      <w:r>
        <w:rPr>
          <w:color w:val="000000"/>
          <w:highlight w:val="none"/>
        </w:rPr>
        <w:instrText xml:space="preserve"> HYPERLINK \l _Toc13014 </w:instrText>
      </w:r>
      <w:r>
        <w:rPr>
          <w:color w:val="000000"/>
          <w:highlight w:val="none"/>
        </w:rPr>
        <w:fldChar w:fldCharType="separate"/>
      </w:r>
      <w:r>
        <w:rPr>
          <w:rFonts w:hint="eastAsia" w:ascii="黑体" w:hAnsi="Arial" w:eastAsia="黑体" w:cs="Arial"/>
          <w:bCs/>
          <w:color w:val="000000"/>
          <w:szCs w:val="44"/>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_Toc13014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858"/>
        <w:spacing w:after="0" w:line="360" w:lineRule="auto"/>
        <w:tabs>
          <w:tab w:val="right" w:pos="8953" w:leader="dot"/>
        </w:tabs>
        <w:rPr>
          <w:color w:val="000000"/>
          <w:highlight w:val="none"/>
        </w:rPr>
      </w:pPr>
      <w:r>
        <w:rPr>
          <w:color w:val="000000"/>
          <w:highlight w:val="none"/>
        </w:rPr>
        <w:fldChar w:fldCharType="begin"/>
      </w:r>
      <w:r>
        <w:rPr>
          <w:color w:val="000000"/>
          <w:highlight w:val="none"/>
        </w:rPr>
        <w:instrText xml:space="preserve"> HYPERLINK \l _Toc21793 </w:instrText>
      </w:r>
      <w:r>
        <w:rPr>
          <w:color w:val="000000"/>
          <w:highlight w:val="none"/>
        </w:rPr>
        <w:fldChar w:fldCharType="separate"/>
      </w:r>
      <w:r>
        <w:rPr>
          <w:rFonts w:hint="eastAsia" w:ascii="黑体" w:hAnsi="Times New Roman" w:eastAsia="黑体"/>
          <w:bCs/>
          <w:color w:val="000000"/>
          <w:szCs w:val="28"/>
          <w:highlight w:val="none"/>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_Toc21793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858"/>
        <w:spacing w:after="0" w:line="360" w:lineRule="auto"/>
        <w:tabs>
          <w:tab w:val="right" w:pos="8953" w:leader="dot"/>
        </w:tabs>
        <w:rPr>
          <w:color w:val="000000"/>
          <w:highlight w:val="none"/>
        </w:rPr>
      </w:pPr>
      <w:r>
        <w:rPr>
          <w:color w:val="000000"/>
          <w:highlight w:val="none"/>
        </w:rPr>
        <w:fldChar w:fldCharType="begin"/>
      </w:r>
      <w:r>
        <w:rPr>
          <w:color w:val="000000"/>
          <w:highlight w:val="none"/>
        </w:rPr>
        <w:instrText xml:space="preserve"> HYPERLINK \l _Toc546 </w:instrText>
      </w:r>
      <w:r>
        <w:rPr>
          <w:color w:val="000000"/>
          <w:highlight w:val="none"/>
        </w:rPr>
        <w:fldChar w:fldCharType="separate"/>
      </w:r>
      <w:r>
        <w:rPr>
          <w:rFonts w:hint="eastAsia" w:ascii="黑体" w:hAnsi="Courier New" w:eastAsia="黑体" w:cs="Courier New"/>
          <w:bCs/>
          <w:color w:val="000000"/>
          <w:szCs w:val="21"/>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_Toc546 \h </w:instrText>
      </w:r>
      <w:r>
        <w:rPr>
          <w:color w:val="000000"/>
          <w:highlight w:val="none"/>
        </w:rPr>
        <w:fldChar w:fldCharType="separate"/>
      </w:r>
      <w:r>
        <w:rPr>
          <w:color w:val="000000"/>
          <w:highlight w:val="none"/>
        </w:rPr>
        <w:t xml:space="preserve">26</w:t>
      </w:r>
      <w:r>
        <w:rPr>
          <w:color w:val="000000"/>
          <w:highlight w:val="none"/>
        </w:rPr>
        <w:fldChar w:fldCharType="end"/>
      </w:r>
      <w:r>
        <w:rPr>
          <w:color w:val="000000"/>
          <w:highlight w:val="none"/>
        </w:rPr>
        <w:fldChar w:fldCharType="end"/>
      </w:r>
      <w:r>
        <w:rPr>
          <w:color w:val="000000"/>
          <w:highlight w:val="none"/>
        </w:rPr>
      </w:r>
      <w:r/>
    </w:p>
    <w:p>
      <w:pPr>
        <w:pStyle w:val="858"/>
        <w:spacing w:after="0" w:line="360" w:lineRule="auto"/>
        <w:tabs>
          <w:tab w:val="right" w:pos="8953" w:leader="dot"/>
        </w:tabs>
        <w:rPr>
          <w:color w:val="000000"/>
          <w:highlight w:val="none"/>
        </w:rPr>
      </w:pPr>
      <w:r>
        <w:rPr>
          <w:color w:val="000000"/>
          <w:highlight w:val="none"/>
        </w:rPr>
        <w:fldChar w:fldCharType="begin"/>
      </w:r>
      <w:r>
        <w:rPr>
          <w:color w:val="000000"/>
          <w:highlight w:val="none"/>
        </w:rPr>
        <w:instrText xml:space="preserve"> HYPERLINK \l _Toc14635 </w:instrText>
      </w:r>
      <w:r>
        <w:rPr>
          <w:color w:val="000000"/>
          <w:highlight w:val="none"/>
        </w:rPr>
        <w:fldChar w:fldCharType="separate"/>
      </w:r>
      <w:r>
        <w:rPr>
          <w:rFonts w:hint="eastAsia" w:ascii="黑体" w:hAnsi="Times New Roman" w:eastAsia="黑体"/>
          <w:bCs/>
          <w:color w:val="000000"/>
          <w:szCs w:val="28"/>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_Toc14635 \h </w:instrText>
      </w:r>
      <w:r>
        <w:rPr>
          <w:color w:val="000000"/>
          <w:highlight w:val="none"/>
        </w:rPr>
        <w:fldChar w:fldCharType="separate"/>
      </w:r>
      <w:r>
        <w:rPr>
          <w:color w:val="000000"/>
          <w:highlight w:val="none"/>
        </w:rPr>
        <w:t xml:space="preserve">50</w:t>
      </w:r>
      <w:r>
        <w:rPr>
          <w:color w:val="000000"/>
          <w:highlight w:val="none"/>
        </w:rPr>
        <w:fldChar w:fldCharType="end"/>
      </w:r>
      <w:r>
        <w:rPr>
          <w:color w:val="000000"/>
          <w:highlight w:val="none"/>
        </w:rPr>
        <w:fldChar w:fldCharType="end"/>
      </w:r>
      <w:r>
        <w:rPr>
          <w:color w:val="000000"/>
          <w:highlight w:val="none"/>
        </w:rPr>
      </w:r>
      <w:r/>
    </w:p>
    <w:p>
      <w:pPr>
        <w:pStyle w:val="858"/>
        <w:spacing w:after="0" w:line="360" w:lineRule="auto"/>
        <w:tabs>
          <w:tab w:val="right" w:pos="8953" w:leader="dot"/>
        </w:tabs>
        <w:rPr>
          <w:color w:val="000000"/>
          <w:highlight w:val="none"/>
        </w:rPr>
      </w:pPr>
      <w:r>
        <w:rPr>
          <w:color w:val="000000"/>
          <w:highlight w:val="none"/>
        </w:rPr>
        <w:fldChar w:fldCharType="begin"/>
      </w:r>
      <w:r>
        <w:rPr>
          <w:color w:val="000000"/>
          <w:highlight w:val="none"/>
        </w:rPr>
        <w:instrText xml:space="preserve"> HYPERLINK \l _Toc11204 </w:instrText>
      </w:r>
      <w:r>
        <w:rPr>
          <w:color w:val="000000"/>
          <w:highlight w:val="none"/>
        </w:rPr>
        <w:fldChar w:fldCharType="separate"/>
      </w:r>
      <w:r>
        <w:rPr>
          <w:rFonts w:hint="eastAsia" w:ascii="黑体" w:hAnsi="Times New Roman" w:eastAsia="黑体"/>
          <w:bCs/>
          <w:color w:val="000000"/>
          <w:szCs w:val="28"/>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_Toc11204 \h </w:instrText>
      </w:r>
      <w:r>
        <w:rPr>
          <w:color w:val="000000"/>
          <w:highlight w:val="none"/>
        </w:rPr>
        <w:fldChar w:fldCharType="separate"/>
      </w:r>
      <w:r>
        <w:rPr>
          <w:color w:val="000000"/>
          <w:highlight w:val="none"/>
        </w:rPr>
        <w:t xml:space="preserve">56</w:t>
      </w:r>
      <w:r>
        <w:rPr>
          <w:color w:val="000000"/>
          <w:highlight w:val="none"/>
        </w:rPr>
        <w:fldChar w:fldCharType="end"/>
      </w:r>
      <w:r>
        <w:rPr>
          <w:color w:val="000000"/>
          <w:highlight w:val="none"/>
        </w:rPr>
        <w:fldChar w:fldCharType="end"/>
      </w:r>
      <w:r>
        <w:rPr>
          <w:color w:val="000000"/>
          <w:highlight w:val="none"/>
        </w:rPr>
      </w:r>
      <w:r/>
    </w:p>
    <w:p>
      <w:pPr>
        <w:pStyle w:val="867"/>
        <w:ind w:left="0"/>
        <w:spacing w:after="0" w:line="360" w:lineRule="auto"/>
        <w:tabs>
          <w:tab w:val="right" w:pos="8953" w:leader="dot"/>
        </w:tabs>
        <w:rPr>
          <w:color w:val="000000"/>
          <w:highlight w:val="none"/>
        </w:rPr>
      </w:pPr>
      <w:r>
        <w:rPr>
          <w:color w:val="000000"/>
          <w:highlight w:val="none"/>
        </w:rPr>
      </w:r>
      <w:r/>
    </w:p>
    <w:p>
      <w:pPr>
        <w:pStyle w:val="821"/>
        <w:spacing w:line="360" w:lineRule="auto"/>
        <w:rPr>
          <w:color w:val="000000"/>
          <w:highlight w:val="none"/>
        </w:rPr>
      </w:pPr>
      <w:r>
        <w:rPr>
          <w:color w:val="000000"/>
          <w:highlight w:val="none"/>
        </w:rPr>
        <w:fldChar w:fldCharType="end"/>
      </w:r>
      <w:r>
        <w:rPr>
          <w:color w:val="000000"/>
          <w:highlight w:val="none"/>
        </w:rPr>
      </w:r>
      <w:r/>
    </w:p>
    <w:p>
      <w:pPr>
        <w:pStyle w:val="821"/>
        <w:spacing w:line="360" w:lineRule="auto"/>
        <w:rPr>
          <w:color w:val="000000"/>
          <w:highlight w:val="none"/>
        </w:rPr>
      </w:pPr>
      <w:r>
        <w:rPr>
          <w:color w:val="000000"/>
          <w:highlight w:val="none"/>
        </w:rPr>
      </w:r>
      <w:r/>
    </w:p>
    <w:p>
      <w:pPr>
        <w:pStyle w:val="867"/>
        <w:ind w:left="0"/>
        <w:spacing w:after="0" w:line="360" w:lineRule="auto"/>
        <w:tabs>
          <w:tab w:val="right" w:pos="8953" w:leader="dot"/>
        </w:tabs>
        <w:rPr>
          <w:color w:val="000000"/>
          <w:highlight w:val="none"/>
        </w:rPr>
      </w:pPr>
      <w:r>
        <w:rPr>
          <w:color w:val="000000"/>
          <w:highlight w:val="none"/>
        </w:rPr>
      </w:r>
      <w:r/>
    </w:p>
    <w:p>
      <w:pPr>
        <w:pStyle w:val="821"/>
        <w:spacing w:line="360" w:lineRule="auto"/>
        <w:rPr>
          <w:color w:val="000000"/>
          <w:highlight w:val="none"/>
        </w:rPr>
      </w:pPr>
      <w:r>
        <w:rPr>
          <w:color w:val="000000"/>
          <w:highlight w:val="none"/>
        </w:rPr>
        <w:fldChar w:fldCharType="end"/>
      </w:r>
      <w:r>
        <w:rPr>
          <w:color w:val="000000"/>
          <w:highlight w:val="none"/>
        </w:rPr>
      </w:r>
      <w:r/>
    </w:p>
    <w:p>
      <w:pPr>
        <w:pStyle w:val="821"/>
        <w:rPr>
          <w:color w:val="000000"/>
          <w:highlight w:val="none"/>
        </w:rPr>
      </w:pPr>
      <w:r>
        <w:rPr>
          <w:color w:val="000000"/>
          <w:highlight w:val="none"/>
        </w:rPr>
      </w:r>
      <w:r/>
    </w:p>
    <w:p>
      <w:pPr>
        <w:pStyle w:val="821"/>
        <w:rPr>
          <w:rFonts w:hint="eastAsia" w:ascii="Times New Roman" w:hAnsi="Times New Roman"/>
          <w:color w:val="000000"/>
          <w:szCs w:val="21"/>
          <w:highlight w:val="none"/>
        </w:rPr>
      </w:pPr>
      <w:r/>
      <w:bookmarkEnd w:id="7"/>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jc w:val="center"/>
        <w:keepNext/>
        <w:spacing w:line="360" w:lineRule="auto"/>
        <w:rPr>
          <w:rFonts w:hint="eastAsia" w:ascii="黑体" w:hAnsi="Times New Roman" w:eastAsia="黑体"/>
          <w:bCs/>
          <w:color w:val="000000"/>
          <w:sz w:val="44"/>
          <w:szCs w:val="44"/>
          <w:highlight w:val="none"/>
        </w:rPr>
        <w:outlineLvl w:val="0"/>
      </w:pPr>
      <w:r/>
      <w:bookmarkStart w:id="8" w:name="_Toc7561"/>
      <w:r/>
      <w:bookmarkStart w:id="9" w:name="_Toc25962"/>
      <w:r/>
      <w:bookmarkStart w:id="10" w:name="_Toc21192"/>
      <w:r/>
      <w:bookmarkStart w:id="11" w:name="_Toc29250"/>
      <w:r/>
      <w:bookmarkStart w:id="12" w:name="_Toc6734"/>
      <w:r>
        <w:rPr>
          <w:rFonts w:hint="eastAsia" w:ascii="黑体" w:hAnsi="Times New Roman" w:eastAsia="黑体"/>
          <w:color w:val="000000"/>
          <w:sz w:val="44"/>
          <w:szCs w:val="44"/>
          <w:highlight w:val="none"/>
        </w:rPr>
        <w:t xml:space="preserve">第一章  </w:t>
      </w:r>
      <w:bookmarkEnd w:id="1"/>
      <w:r>
        <w:rPr>
          <w:rFonts w:hint="eastAsia" w:ascii="黑体" w:hAnsi="Times New Roman" w:eastAsia="黑体"/>
          <w:color w:val="000000"/>
          <w:sz w:val="44"/>
          <w:szCs w:val="44"/>
          <w:highlight w:val="none"/>
        </w:rPr>
        <w:t xml:space="preserve">投标邀请</w:t>
      </w:r>
      <w:bookmarkEnd w:id="8"/>
      <w:r/>
      <w:bookmarkEnd w:id="9"/>
      <w:r/>
      <w:bookmarkEnd w:id="10"/>
      <w:r/>
      <w:bookmarkEnd w:id="11"/>
      <w:r/>
      <w:bookmarkEnd w:id="12"/>
      <w:r>
        <w:rPr>
          <w:rFonts w:hint="eastAsia" w:ascii="黑体" w:hAnsi="Times New Roman" w:eastAsia="黑体"/>
          <w:bCs/>
          <w:color w:val="000000"/>
          <w:sz w:val="44"/>
          <w:szCs w:val="4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受[连云港市第一人民医院]的委托，江苏鸿成工程项目管理有限公司就[</w:t>
      </w:r>
      <w:r>
        <w:rPr>
          <w:rFonts w:hint="eastAsia" w:ascii="宋体" w:hAnsi="宋体"/>
          <w:color w:val="000000"/>
          <w:sz w:val="24"/>
          <w:szCs w:val="24"/>
          <w:highlight w:val="none"/>
          <w:lang w:eastAsia="zh-CN"/>
        </w:rPr>
        <w:t xml:space="preserve">连云港市第一人民医院病理技术全流程质控系统项目</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JSZC-320700-HCCG-G2026-0037</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821"/>
        <w:ind w:firstLine="482"/>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21"/>
        <w:ind w:firstLine="482"/>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连云港市第一人民医院病理技术全流程质控系统项目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color w:val="000000"/>
          <w:sz w:val="24"/>
          <w:szCs w:val="24"/>
          <w:highlight w:val="none"/>
          <w:u w:val="single"/>
        </w:rPr>
        <w:t xml:space="preserve">2026年8月28日09点00分（北京时间）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13" w:name="_Toc35393621"/>
      <w:r/>
      <w:bookmarkStart w:id="14" w:name="_Toc28359002"/>
      <w:r/>
      <w:bookmarkStart w:id="15" w:name="_Toc1799"/>
      <w:r/>
      <w:bookmarkStart w:id="16" w:name="_Toc28359079"/>
      <w:r/>
      <w:bookmarkStart w:id="17" w:name="_Toc35393790"/>
      <w:r/>
      <w:bookmarkStart w:id="18" w:name="_Toc5763"/>
      <w:r/>
      <w:bookmarkStart w:id="19" w:name="_Toc13202"/>
      <w:r/>
      <w:bookmarkStart w:id="20" w:name="_Toc38985263"/>
      <w:r/>
      <w:bookmarkStart w:id="21" w:name="_Toc26290"/>
      <w:r/>
      <w:bookmarkStart w:id="22" w:name="_Hlk24379207"/>
      <w:r>
        <w:rPr>
          <w:rFonts w:hint="eastAsia" w:ascii="Times New Roman" w:hAnsi="Times New Roman"/>
          <w:b/>
          <w:bCs/>
          <w:color w:val="000000"/>
          <w:sz w:val="32"/>
          <w:szCs w:val="32"/>
          <w:highlight w:val="none"/>
        </w:rPr>
        <w:t xml:space="preserve">一、项目基本情况</w:t>
      </w:r>
      <w:bookmarkEnd w:id="13"/>
      <w:r/>
      <w:bookmarkEnd w:id="14"/>
      <w:r/>
      <w:bookmarkEnd w:id="15"/>
      <w:r/>
      <w:bookmarkEnd w:id="16"/>
      <w:r/>
      <w:bookmarkEnd w:id="17"/>
      <w:r/>
      <w:bookmarkEnd w:id="18"/>
      <w:r/>
      <w:bookmarkEnd w:id="19"/>
      <w:r/>
      <w:bookmarkEnd w:id="20"/>
      <w:r/>
      <w:bookmarkEnd w:id="21"/>
      <w:r>
        <w:rPr>
          <w:rFonts w:ascii="Times New Roman" w:hAnsi="Times New Roman"/>
          <w:b/>
          <w:bCs/>
          <w:color w:val="000000"/>
          <w:sz w:val="32"/>
          <w:szCs w:val="32"/>
          <w:highlight w:val="none"/>
        </w:rPr>
      </w:r>
      <w:r/>
    </w:p>
    <w:p>
      <w:pPr>
        <w:pStyle w:val="82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JSZC-320700-HCCG-G2026-0037</w:t>
      </w:r>
      <w:r>
        <w:rPr>
          <w:rFonts w:hint="eastAsia" w:ascii="宋体" w:hAnsi="宋体" w:eastAsia="宋体"/>
          <w:color w:val="000000"/>
          <w:sz w:val="24"/>
          <w:szCs w:val="24"/>
          <w:highlight w:val="none"/>
          <w:lang w:eastAsia="zh-CN"/>
        </w:rPr>
      </w:r>
      <w:r/>
    </w:p>
    <w:p>
      <w:pPr>
        <w:pStyle w:val="82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连云港市第一人民医院病理技术全流程质控系统项目</w:t>
      </w:r>
      <w:r>
        <w:rPr>
          <w:rFonts w:hint="eastAsia" w:ascii="宋体" w:hAnsi="宋体" w:eastAsia="宋体"/>
          <w:color w:val="000000"/>
          <w:sz w:val="24"/>
          <w:szCs w:val="24"/>
          <w:highlight w:val="none"/>
          <w:lang w:eastAsia="zh-CN"/>
        </w:rPr>
      </w:r>
      <w:r/>
    </w:p>
    <w:p>
      <w:pPr>
        <w:pStyle w:val="821"/>
        <w:ind w:firstLine="480"/>
        <w:spacing w:line="360" w:lineRule="auto"/>
        <w:rPr>
          <w:rFonts w:ascii="宋体" w:hAnsi="宋体"/>
          <w:color w:val="000000"/>
          <w:sz w:val="24"/>
          <w:szCs w:val="24"/>
          <w:highlight w:val="none"/>
        </w:rPr>
      </w:pPr>
      <w:r/>
      <w:bookmarkEnd w:id="22"/>
      <w:r>
        <w:rPr>
          <w:rFonts w:hint="eastAsia" w:ascii="宋体" w:hAnsi="宋体"/>
          <w:color w:val="000000"/>
          <w:sz w:val="24"/>
          <w:szCs w:val="24"/>
          <w:highlight w:val="none"/>
        </w:rPr>
        <w:t xml:space="preserve">3.预算金额：</w:t>
      </w:r>
      <w:r>
        <w:rPr>
          <w:rFonts w:hint="eastAsia"/>
          <w:color w:val="000000"/>
          <w:sz w:val="24"/>
          <w:szCs w:val="24"/>
          <w:highlight w:val="none"/>
        </w:rPr>
        <w:t xml:space="preserve">160万元</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4.最高限价：最高限价为</w:t>
      </w:r>
      <w:r>
        <w:rPr>
          <w:rFonts w:hint="eastAsia" w:ascii="宋体" w:hAnsi="宋体"/>
          <w:color w:val="000000"/>
          <w:sz w:val="24"/>
          <w:szCs w:val="24"/>
          <w:highlight w:val="none"/>
          <w:u w:val="single"/>
        </w:rPr>
        <w:t xml:space="preserve">15</w:t>
      </w:r>
      <w:r>
        <w:rPr>
          <w:rFonts w:hint="eastAsia" w:ascii="宋体" w:hAnsi="宋体"/>
          <w:color w:val="000000"/>
          <w:sz w:val="24"/>
          <w:szCs w:val="24"/>
          <w:highlight w:val="none"/>
          <w:u w:val="single"/>
          <w:lang w:val="en-US" w:eastAsia="zh-CN"/>
        </w:rPr>
        <w:t xml:space="preserve">0</w:t>
      </w:r>
      <w:r>
        <w:rPr>
          <w:rFonts w:hint="eastAsia" w:ascii="宋体" w:hAnsi="宋体"/>
          <w:color w:val="000000"/>
          <w:sz w:val="24"/>
          <w:szCs w:val="24"/>
          <w:highlight w:val="none"/>
        </w:rPr>
        <w:t xml:space="preserve">万元,投标人所报的投标报价超过最高限价的投标无效。</w:t>
      </w:r>
      <w:r>
        <w:rPr>
          <w:rFonts w:ascii="宋体" w:hAnsi="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5.采购需求(简介)：病理技术全流程系统为病理科提供一套先进完整的病理技术核心流程二维码管理方案，覆盖脱水、包埋、切片、染色、免疫组化、交接及标本销毁等关键环节。系统通过独立工位工作站与二维码识别技术，实现制片流程的精准记录与实时监控，结合状态追踪、进度提示和语音播报功能，提升操作准确性与效率。该系统基于CNAS认可标准构建，整合“人机料法环件”全要素管理，支持标准化迎检流程、多级审批与电子化质控，助力病理科建立符合CNAS要求的质量管理体系，并实现与病理系统流程的数据协同，形成从操作到认证的全流程闭环管理</w:t>
      </w:r>
      <w:r>
        <w:rPr>
          <w:rFonts w:hint="eastAsia" w:ascii="宋体" w:hAnsi="宋体" w:cs="宋体"/>
          <w:color w:val="000000"/>
          <w:sz w:val="24"/>
          <w:szCs w:val="24"/>
          <w:highlight w:val="none"/>
        </w:rPr>
        <w:t xml:space="preserve">（详细内容见本招标文件第四章）。</w:t>
      </w:r>
      <w:r>
        <w:rPr>
          <w:rFonts w:hint="eastAsia" w:ascii="宋体" w:hAnsi="宋体" w:cs="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u w:val="single"/>
        </w:rPr>
      </w:pPr>
      <w:r>
        <w:rPr>
          <w:rFonts w:hint="eastAsia" w:ascii="宋体" w:hAnsi="宋体" w:cs="宋体"/>
          <w:b/>
          <w:bCs/>
          <w:color w:val="000000"/>
          <w:sz w:val="24"/>
          <w:szCs w:val="24"/>
          <w:highlight w:val="none"/>
        </w:rPr>
        <w:t xml:space="preserve">对项目采购需求部分的询问、质疑请与采购人联系，由采购人负责答复。</w:t>
      </w:r>
      <w:r>
        <w:rPr>
          <w:rFonts w:hint="eastAsia" w:ascii="宋体" w:hAnsi="宋体"/>
          <w:b/>
          <w:bCs/>
          <w:color w:val="000000"/>
          <w:sz w:val="24"/>
          <w:szCs w:val="24"/>
          <w:highlight w:val="none"/>
          <w:u w:val="single"/>
        </w:rPr>
      </w:r>
      <w:r/>
    </w:p>
    <w:p>
      <w:pPr>
        <w:pStyle w:val="821"/>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6.合同履行期限：合同签订后90天内完成安装调试，达到预期效果。</w:t>
      </w:r>
      <w:r>
        <w:rPr>
          <w:rFonts w:ascii="宋体" w:hAnsi="宋体"/>
          <w:color w:val="000000"/>
          <w:sz w:val="24"/>
          <w:szCs w:val="24"/>
          <w:highlight w:val="none"/>
          <w:u w:val="singl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23" w:name="_Toc14290"/>
      <w:r/>
      <w:bookmarkStart w:id="24" w:name="_Toc18300"/>
      <w:r/>
      <w:bookmarkStart w:id="25" w:name="_Toc35393791"/>
      <w:r/>
      <w:bookmarkStart w:id="26" w:name="_Toc38985264"/>
      <w:r/>
      <w:bookmarkStart w:id="27" w:name="_Toc30414"/>
      <w:r/>
      <w:bookmarkStart w:id="28" w:name="_Toc19177"/>
      <w:r/>
      <w:bookmarkStart w:id="29" w:name="_Toc35393622"/>
      <w:r/>
      <w:bookmarkStart w:id="30" w:name="_Toc28359080"/>
      <w:r/>
      <w:bookmarkStart w:id="31" w:name="_Toc28359003"/>
      <w:r>
        <w:rPr>
          <w:rFonts w:hint="eastAsia" w:ascii="Times New Roman" w:hAnsi="Times New Roman"/>
          <w:b/>
          <w:bCs/>
          <w:color w:val="000000"/>
          <w:sz w:val="32"/>
          <w:szCs w:val="32"/>
          <w:highlight w:val="none"/>
        </w:rPr>
        <w:t xml:space="preserve">二、申请人的资格要求：</w:t>
      </w:r>
      <w:bookmarkEnd w:id="23"/>
      <w:r/>
      <w:bookmarkEnd w:id="24"/>
      <w:r/>
      <w:bookmarkEnd w:id="25"/>
      <w:r/>
      <w:bookmarkEnd w:id="26"/>
      <w:r/>
      <w:bookmarkEnd w:id="27"/>
      <w:r/>
      <w:bookmarkEnd w:id="28"/>
      <w:r/>
      <w:bookmarkEnd w:id="29"/>
      <w:r/>
      <w:bookmarkEnd w:id="30"/>
      <w:r/>
      <w:bookmarkEnd w:id="31"/>
      <w:r>
        <w:rPr>
          <w:rFonts w:ascii="Times New Roman" w:hAnsi="Times New Roman"/>
          <w:b/>
          <w:bCs/>
          <w:color w:val="000000"/>
          <w:sz w:val="32"/>
          <w:szCs w:val="32"/>
          <w:highlight w:val="none"/>
        </w:rPr>
      </w:r>
      <w:r/>
    </w:p>
    <w:p>
      <w:pPr>
        <w:pStyle w:val="821"/>
        <w:ind w:firstLine="480"/>
        <w:spacing w:line="360" w:lineRule="auto"/>
        <w:rPr>
          <w:rFonts w:hint="eastAsia" w:ascii="宋体" w:hAnsi="宋体"/>
          <w:color w:val="000000"/>
          <w:sz w:val="24"/>
          <w:szCs w:val="24"/>
          <w:highlight w:val="none"/>
        </w:rPr>
        <w:outlineLvl w:val="1"/>
      </w:pPr>
      <w:r/>
      <w:bookmarkStart w:id="32" w:name="_Toc9631"/>
      <w:r/>
      <w:bookmarkStart w:id="33" w:name="_Toc30471"/>
      <w:r/>
      <w:bookmarkStart w:id="34" w:name="_Toc29206"/>
      <w:r/>
      <w:bookmarkStart w:id="35" w:name="_Toc18149"/>
      <w:r/>
      <w:bookmarkStart w:id="36" w:name="_Toc28359081"/>
      <w:r/>
      <w:bookmarkStart w:id="37" w:name="_Toc35393623"/>
      <w:r/>
      <w:bookmarkStart w:id="38" w:name="_Toc35393792"/>
      <w:r/>
      <w:bookmarkStart w:id="39" w:name="_Toc38985265"/>
      <w:r/>
      <w:bookmarkStart w:id="40"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bookmarkEnd w:id="32"/>
      <w:r/>
      <w:bookmarkEnd w:id="33"/>
      <w:r/>
      <w:bookmarkEnd w:id="34"/>
      <w:r/>
      <w:bookmarkEnd w:id="35"/>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（1）法人或者其他组织的营业执照等证明文件，自然人的身份证明；</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（2）上一年度的财务状况报告（成立不满一年无需提供）；</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（4）具备履行合同所必需的设备和专业技术能力的书面声明及证明材料；</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（5）参加政府采购活动前3年内在经营活动中没有重大违法记录的书面声明。</w:t>
      </w:r>
      <w:r>
        <w:rPr>
          <w:rFonts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根据连财购〔2023〕4号、连财购〔2023〕9号文件精神，第（2）、（3）项可以提供《财务状况报告及税收、社会保障资金缴纳情况承诺函》，不再要求投标人提供相关财务状况、缴纳税收和社会保障资金等证明材料，具体格式详见招标文件第六章投标文件格式。</w:t>
      </w:r>
      <w:r>
        <w:rPr>
          <w:rFonts w:hint="eastAsia" w:ascii="宋体" w:hAnsi="宋体"/>
          <w:b/>
          <w:bCs/>
          <w:color w:val="000000"/>
          <w:sz w:val="24"/>
          <w:szCs w:val="24"/>
          <w:highlight w:val="none"/>
        </w:rPr>
      </w:r>
      <w:r/>
    </w:p>
    <w:p>
      <w:pPr>
        <w:pStyle w:val="821"/>
        <w:ind w:firstLine="480"/>
        <w:spacing w:line="360" w:lineRule="auto"/>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rPr>
      </w:r>
      <w:r/>
    </w:p>
    <w:p>
      <w:pPr>
        <w:pStyle w:val="821"/>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b/>
          <w:bCs/>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rFonts w:ascii="宋体" w:hAnsi="宋体" w:cs="宋体"/>
          <w:color w:val="000000"/>
          <w:sz w:val="24"/>
          <w:szCs w:val="24"/>
          <w:highlight w:val="none"/>
        </w:rPr>
      </w:r>
      <w:r/>
    </w:p>
    <w:p>
      <w:pPr>
        <w:pStyle w:val="821"/>
        <w:ind w:firstLine="480"/>
        <w:spacing w:line="360" w:lineRule="auto"/>
        <w:rPr>
          <w:rFonts w:ascii="宋体" w:hAnsi="宋体" w:cs="宋体"/>
          <w:color w:val="000000"/>
          <w:sz w:val="24"/>
          <w:szCs w:val="24"/>
          <w:highlight w:val="none"/>
        </w:rPr>
        <w:outlineLvl w:val="1"/>
      </w:pPr>
      <w:r/>
      <w:bookmarkStart w:id="41" w:name="_Toc6462"/>
      <w:r/>
      <w:bookmarkStart w:id="42" w:name="_Toc7457"/>
      <w:r/>
      <w:bookmarkStart w:id="43" w:name="_Toc22039"/>
      <w:r/>
      <w:bookmarkStart w:id="44" w:name="_Toc19408"/>
      <w:r>
        <w:rPr>
          <w:rFonts w:hint="eastAsia" w:ascii="宋体" w:hAnsi="宋体"/>
          <w:color w:val="000000"/>
          <w:sz w:val="24"/>
          <w:szCs w:val="24"/>
          <w:highlight w:val="none"/>
        </w:rPr>
        <w:t xml:space="preserve">（二）本项目的特定资格要求</w:t>
      </w:r>
      <w:bookmarkEnd w:id="41"/>
      <w:r/>
      <w:bookmarkEnd w:id="43"/>
      <w:r/>
      <w:bookmarkEnd w:id="44"/>
      <w:r>
        <w:rPr>
          <w:rFonts w:hint="eastAsia" w:ascii="宋体" w:hAnsi="宋体"/>
          <w:color w:val="000000"/>
          <w:sz w:val="24"/>
          <w:szCs w:val="24"/>
          <w:highlight w:val="none"/>
        </w:rPr>
        <w:t xml:space="preserve">：无。</w:t>
      </w:r>
      <w:bookmarkEnd w:id="42"/>
      <w:r>
        <w:rPr>
          <w:rFonts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outlineLvl w:val="1"/>
      </w:pPr>
      <w:r/>
      <w:bookmarkStart w:id="45" w:name="_Toc28299"/>
      <w:r/>
      <w:bookmarkStart w:id="46" w:name="_Toc14896"/>
      <w:r/>
      <w:bookmarkStart w:id="47" w:name="_Toc16701"/>
      <w:r/>
      <w:bookmarkStart w:id="48" w:name="_Toc12604"/>
      <w:r>
        <w:rPr>
          <w:rFonts w:hint="eastAsia" w:ascii="宋体" w:hAnsi="宋体" w:cs="宋体"/>
          <w:color w:val="000000"/>
          <w:sz w:val="24"/>
          <w:szCs w:val="24"/>
          <w:highlight w:val="none"/>
        </w:rPr>
        <w:t xml:space="preserve">（三）本项目的其他资格要求：</w:t>
      </w:r>
      <w:bookmarkEnd w:id="48"/>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bookmarkStart w:id="49" w:name="OLE_LINK1"/>
      <w:r>
        <w:rPr>
          <w:rFonts w:hint="eastAsia" w:ascii="宋体" w:hAnsi="宋体" w:cs="宋体"/>
          <w:color w:val="000000"/>
          <w:sz w:val="24"/>
          <w:szCs w:val="24"/>
          <w:highlight w:val="none"/>
        </w:rPr>
        <w:t xml:space="preserve">1.本项目不接受进口产品(进口产品是指通过中国海关报关验放进入中国境内且产自关境外的产品)。</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3.法律、法规规定的其他条件。</w:t>
      </w:r>
      <w:bookmarkEnd w:id="49"/>
      <w:r>
        <w:rPr>
          <w:rFonts w:hint="eastAsia" w:ascii="宋体" w:hAnsi="宋体" w:cs="宋体"/>
          <w:color w:val="000000"/>
          <w:sz w:val="24"/>
          <w:szCs w:val="24"/>
          <w:highlight w:val="non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50" w:name="_Toc4195"/>
      <w:r>
        <w:rPr>
          <w:rFonts w:hint="eastAsia" w:ascii="Times New Roman" w:hAnsi="Times New Roman"/>
          <w:b/>
          <w:bCs/>
          <w:color w:val="000000"/>
          <w:sz w:val="32"/>
          <w:szCs w:val="32"/>
          <w:highlight w:val="none"/>
        </w:rPr>
        <w:t xml:space="preserve">三、获取招标文件</w:t>
      </w:r>
      <w:bookmarkEnd w:id="36"/>
      <w:r/>
      <w:bookmarkEnd w:id="37"/>
      <w:r/>
      <w:bookmarkEnd w:id="38"/>
      <w:r/>
      <w:bookmarkEnd w:id="39"/>
      <w:r/>
      <w:bookmarkEnd w:id="40"/>
      <w:r/>
      <w:bookmarkEnd w:id="45"/>
      <w:r/>
      <w:bookmarkEnd w:id="46"/>
      <w:r/>
      <w:bookmarkEnd w:id="47"/>
      <w:r/>
      <w:bookmarkEnd w:id="50"/>
      <w:r>
        <w:rPr>
          <w:rFonts w:ascii="Times New Roman" w:hAnsi="Times New Roman"/>
          <w:b/>
          <w:bCs/>
          <w:color w:val="000000"/>
          <w:sz w:val="32"/>
          <w:szCs w:val="32"/>
          <w:highlight w:val="none"/>
        </w:rPr>
      </w:r>
      <w:r/>
    </w:p>
    <w:p>
      <w:pPr>
        <w:pStyle w:val="821"/>
        <w:ind w:firstLine="480"/>
        <w:spacing w:line="360" w:lineRule="auto"/>
        <w:rPr>
          <w:rFonts w:ascii="宋体" w:hAnsi="宋体" w:cs="宋体"/>
          <w:color w:val="000000"/>
          <w:sz w:val="24"/>
          <w:szCs w:val="24"/>
          <w:highlight w:val="none"/>
        </w:rPr>
      </w:pPr>
      <w:r/>
      <w:bookmarkStart w:id="51" w:name="_Toc28359005"/>
      <w:r/>
      <w:bookmarkStart w:id="52" w:name="_Toc28359082"/>
      <w:r/>
      <w:bookmarkStart w:id="53" w:name="_Toc35393624"/>
      <w:r/>
      <w:bookmarkStart w:id="54" w:name="_Toc35393793"/>
      <w:r/>
      <w:bookmarkStart w:id="55" w:name="_Toc38985266"/>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（1）潜在投标人访问电子招标投标交易平台的网络地址和方法：</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①登录http://jszfcg.jsczt.cn/ ，或进入江苏政府采购网，点击“苏采云”进入系统。</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③潜在投标人访问“苏采云”系统的网络地址和方法：“苏采云”系统的网址:http://jszfcg.jsczt.cn/。</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⑤招标文件(后缀名为“.kedt”)、供应商操作手册及政府采购客户端工具可通过“苏采云”系统－－已报名项目－－报名详情页面内相应链接进行下载。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⑥招标代理机构（采购代理机构）将数据电文形式的招标文件加载至“苏采云”系统，供潜在投标人下载或者查阅。</w:t>
      </w:r>
      <w:r>
        <w:rPr>
          <w:rFonts w:hint="eastAsia" w:ascii="宋体" w:hAnsi="宋体" w:cs="宋体"/>
          <w:color w:val="000000"/>
          <w:sz w:val="24"/>
          <w:szCs w:val="24"/>
          <w:highlight w:val="none"/>
        </w:rPr>
      </w:r>
      <w:r/>
    </w:p>
    <w:p>
      <w:pPr>
        <w:pStyle w:val="82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⑦请潜在投标人提前安装相应的控件（详见《江苏省政府采购管理交易系统（苏采云）供应商操作手册&gt;）并使用谷歌浏览器登录“苏采云”系统参与不见面开评标。</w:t>
      </w:r>
      <w:r>
        <w:rPr>
          <w:rFonts w:hint="eastAsia" w:ascii="宋体" w:hAnsi="宋体" w:cs="宋体"/>
          <w:color w:val="000000"/>
          <w:sz w:val="24"/>
          <w:szCs w:val="24"/>
          <w:highlight w:val="non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56" w:name="_Toc31194"/>
      <w:r/>
      <w:bookmarkStart w:id="57" w:name="_Toc20213"/>
      <w:r/>
      <w:bookmarkStart w:id="58" w:name="_Toc8505"/>
      <w:r/>
      <w:bookmarkStart w:id="59" w:name="_Toc8601"/>
      <w:r>
        <w:rPr>
          <w:rFonts w:hint="eastAsia" w:ascii="Times New Roman" w:hAnsi="Times New Roman"/>
          <w:b/>
          <w:bCs/>
          <w:color w:val="000000"/>
          <w:sz w:val="32"/>
          <w:szCs w:val="32"/>
          <w:highlight w:val="none"/>
        </w:rPr>
        <w:t xml:space="preserve">四、提交投标文件</w:t>
      </w:r>
      <w:bookmarkEnd w:id="51"/>
      <w:r/>
      <w:bookmarkEnd w:id="52"/>
      <w:r>
        <w:rPr>
          <w:rFonts w:hint="eastAsia" w:ascii="Times New Roman" w:hAnsi="Times New Roman"/>
          <w:b/>
          <w:bCs/>
          <w:color w:val="000000"/>
          <w:sz w:val="32"/>
          <w:szCs w:val="32"/>
          <w:highlight w:val="none"/>
        </w:rPr>
        <w:t xml:space="preserve">截止时间、开标时间和地点</w:t>
      </w:r>
      <w:bookmarkEnd w:id="53"/>
      <w:r/>
      <w:bookmarkEnd w:id="54"/>
      <w:r/>
      <w:bookmarkEnd w:id="55"/>
      <w:r/>
      <w:bookmarkEnd w:id="56"/>
      <w:r/>
      <w:bookmarkEnd w:id="57"/>
      <w:r/>
      <w:bookmarkEnd w:id="58"/>
      <w:r/>
      <w:bookmarkEnd w:id="59"/>
      <w:r>
        <w:rPr>
          <w:rFonts w:ascii="Times New Roman" w:hAnsi="Times New Roman"/>
          <w:b/>
          <w:bCs/>
          <w:color w:val="000000"/>
          <w:sz w:val="32"/>
          <w:szCs w:val="32"/>
          <w:highlight w:val="none"/>
        </w:rPr>
      </w:r>
      <w:r/>
    </w:p>
    <w:p>
      <w:pPr>
        <w:pStyle w:val="82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1.投标文件接收截止时间（北京时间）：</w:t>
      </w:r>
      <w:r>
        <w:rPr>
          <w:rFonts w:hint="eastAsia" w:ascii="宋体" w:hAnsi="宋体"/>
          <w:bCs/>
          <w:color w:val="000000"/>
          <w:sz w:val="24"/>
          <w:szCs w:val="24"/>
          <w:highlight w:val="none"/>
          <w:u w:val="single"/>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8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28</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rPr>
        <w:t xml:space="preserve">00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821"/>
        <w:ind w:firstLine="48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60" w:name="_Toc28359007"/>
      <w:r/>
      <w:bookmarkStart w:id="61" w:name="_Toc38985267"/>
      <w:r/>
      <w:bookmarkStart w:id="62" w:name="_Toc35393625"/>
      <w:r/>
      <w:bookmarkStart w:id="63" w:name="_Toc13279"/>
      <w:r/>
      <w:bookmarkStart w:id="64" w:name="_Toc28359084"/>
      <w:r/>
      <w:bookmarkStart w:id="65" w:name="_Toc21157"/>
      <w:r/>
      <w:bookmarkStart w:id="66" w:name="_Toc5614"/>
      <w:r/>
      <w:bookmarkStart w:id="67" w:name="_Toc32324"/>
      <w:r/>
      <w:bookmarkStart w:id="68" w:name="_Toc35393794"/>
      <w:r>
        <w:rPr>
          <w:rFonts w:hint="eastAsia" w:ascii="Times New Roman" w:hAnsi="Times New Roman"/>
          <w:b/>
          <w:bCs/>
          <w:color w:val="000000"/>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Pr>
          <w:rFonts w:ascii="Times New Roman" w:hAnsi="Times New Roman"/>
          <w:b/>
          <w:bCs/>
          <w:color w:val="000000"/>
          <w:sz w:val="32"/>
          <w:szCs w:val="32"/>
          <w:highlight w:val="none"/>
        </w:rPr>
      </w:r>
      <w:r/>
    </w:p>
    <w:p>
      <w:pPr>
        <w:pStyle w:val="821"/>
        <w:ind w:firstLine="480"/>
        <w:spacing w:line="360" w:lineRule="auto"/>
        <w:rPr>
          <w:rFonts w:ascii="宋体" w:hAnsi="宋体" w:cs="宋体"/>
          <w:color w:val="000000"/>
          <w:sz w:val="24"/>
          <w:szCs w:val="24"/>
          <w:highlight w:val="none"/>
        </w:rPr>
      </w:pPr>
      <w:r/>
      <w:bookmarkStart w:id="69" w:name="_Toc35393626"/>
      <w:r/>
      <w:bookmarkStart w:id="70" w:name="_Toc35393795"/>
      <w:r/>
      <w:bookmarkStart w:id="71" w:name="_Toc38985268"/>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72" w:name="_Toc17713"/>
      <w:r/>
      <w:bookmarkStart w:id="73" w:name="_Toc12976"/>
      <w:r/>
      <w:bookmarkStart w:id="74" w:name="_Toc17168"/>
      <w:r/>
      <w:bookmarkStart w:id="75" w:name="_Toc3150"/>
      <w:r>
        <w:rPr>
          <w:rFonts w:hint="eastAsia" w:ascii="Times New Roman" w:hAnsi="Times New Roman"/>
          <w:b/>
          <w:bCs/>
          <w:color w:val="000000"/>
          <w:sz w:val="32"/>
          <w:szCs w:val="32"/>
          <w:highlight w:val="none"/>
        </w:rPr>
        <w:t xml:space="preserve">六、其他补充事宜</w:t>
      </w:r>
      <w:bookmarkEnd w:id="69"/>
      <w:r/>
      <w:bookmarkEnd w:id="70"/>
      <w:r/>
      <w:bookmarkEnd w:id="71"/>
      <w:r/>
      <w:bookmarkEnd w:id="72"/>
      <w:r/>
      <w:bookmarkEnd w:id="73"/>
      <w:r/>
      <w:bookmarkEnd w:id="74"/>
      <w:r/>
      <w:bookmarkEnd w:id="75"/>
      <w:r>
        <w:rPr>
          <w:rFonts w:ascii="Times New Roman" w:hAnsi="Times New Roman"/>
          <w:b/>
          <w:bCs/>
          <w:color w:val="000000"/>
          <w:sz w:val="32"/>
          <w:szCs w:val="32"/>
          <w:highlight w:val="none"/>
        </w:rPr>
      </w:r>
      <w:r/>
    </w:p>
    <w:p>
      <w:pPr>
        <w:pStyle w:val="821"/>
        <w:ind w:firstLine="480"/>
        <w:spacing w:line="360" w:lineRule="auto"/>
        <w:rPr>
          <w:rFonts w:ascii="宋体" w:hAnsi="宋体" w:cs="宋体"/>
          <w:color w:val="000000"/>
          <w:sz w:val="24"/>
          <w:szCs w:val="24"/>
          <w:highlight w:val="none"/>
        </w:rPr>
      </w:pPr>
      <w:r/>
      <w:bookmarkStart w:id="76" w:name="_Toc14680"/>
      <w:r/>
      <w:bookmarkStart w:id="77" w:name="_Toc28359008"/>
      <w:r/>
      <w:bookmarkStart w:id="78" w:name="_Toc17112"/>
      <w:r/>
      <w:bookmarkStart w:id="79" w:name="_Toc28359085"/>
      <w:r/>
      <w:bookmarkStart w:id="80" w:name="_Toc35393796"/>
      <w:r/>
      <w:bookmarkStart w:id="81" w:name="_Toc38985269"/>
      <w:r/>
      <w:bookmarkStart w:id="82" w:name="_Toc9562"/>
      <w:r/>
      <w:bookmarkStart w:id="83" w:name="_Toc35393627"/>
      <w:r>
        <w:rPr>
          <w:rFonts w:hint="eastAsia" w:ascii="宋体" w:hAnsi="宋体" w:cs="宋体"/>
          <w:color w:val="000000"/>
          <w:sz w:val="24"/>
          <w:szCs w:val="24"/>
          <w:highlight w:val="none"/>
        </w:rPr>
        <w:t xml:space="preserve">1.本招标文件中标注★的款项为实质性响应要求和条件，如不满足将按无效响应处理。</w:t>
      </w:r>
      <w:r>
        <w:rPr>
          <w:rFonts w:ascii="宋体" w:hAnsi="宋体" w:cs="宋体"/>
          <w:color w:val="000000"/>
          <w:sz w:val="24"/>
          <w:szCs w:val="24"/>
          <w:highlight w:val="none"/>
        </w:rPr>
      </w:r>
      <w:r/>
    </w:p>
    <w:p>
      <w:pPr>
        <w:pStyle w:val="82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000000"/>
          <w:sz w:val="24"/>
          <w:szCs w:val="24"/>
          <w:highlight w:val="none"/>
        </w:rPr>
        <w:t xml:space="preserve">江苏政府采购网</w:t>
      </w:r>
      <w:r>
        <w:rPr>
          <w:rFonts w:hint="eastAsia" w:ascii="宋体" w:hAnsi="宋体" w:cs="宋体"/>
          <w:color w:val="000000"/>
          <w:sz w:val="24"/>
          <w:szCs w:val="24"/>
          <w:highlight w:val="none"/>
        </w:rPr>
        <w:t xml:space="preserve">。若因投标人自身原因未及时关注本项目有关修改、补充或变更信息，导致投标文件编制或提交失误，由此造成的一切损失由投标人自行承担。</w:t>
      </w:r>
      <w:r>
        <w:rPr>
          <w:rFonts w:ascii="宋体" w:hAnsi="宋体" w:cs="宋体"/>
          <w:color w:val="000000"/>
          <w:sz w:val="24"/>
          <w:szCs w:val="24"/>
          <w:highlight w:val="non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84" w:name="_Toc11065"/>
      <w:r>
        <w:rPr>
          <w:rFonts w:hint="eastAsia" w:ascii="Times New Roman" w:hAnsi="Times New Roman"/>
          <w:b/>
          <w:bCs/>
          <w:color w:val="000000"/>
          <w:sz w:val="32"/>
          <w:szCs w:val="32"/>
          <w:highlight w:val="none"/>
        </w:rPr>
        <w:t xml:space="preserve">七、本次招标联系方式</w:t>
      </w:r>
      <w:bookmarkEnd w:id="76"/>
      <w:r/>
      <w:bookmarkEnd w:id="77"/>
      <w:r/>
      <w:bookmarkEnd w:id="78"/>
      <w:r/>
      <w:bookmarkEnd w:id="79"/>
      <w:r/>
      <w:bookmarkEnd w:id="80"/>
      <w:r/>
      <w:bookmarkEnd w:id="81"/>
      <w:r/>
      <w:bookmarkEnd w:id="82"/>
      <w:r/>
      <w:bookmarkEnd w:id="83"/>
      <w:r/>
      <w:bookmarkEnd w:id="84"/>
      <w:r>
        <w:rPr>
          <w:rFonts w:ascii="Times New Roman" w:hAnsi="Times New Roman"/>
          <w:b/>
          <w:bCs/>
          <w:color w:val="000000"/>
          <w:sz w:val="32"/>
          <w:szCs w:val="32"/>
          <w:highlight w:val="none"/>
        </w:rPr>
      </w:r>
      <w:r/>
    </w:p>
    <w:p>
      <w:pPr>
        <w:pStyle w:val="821"/>
        <w:ind w:firstLine="480"/>
        <w:jc w:val="left"/>
        <w:spacing w:line="360" w:lineRule="auto"/>
        <w:rPr>
          <w:rFonts w:hint="eastAsia" w:ascii="宋体" w:hAnsi="宋体"/>
          <w:color w:val="000000"/>
          <w:sz w:val="24"/>
          <w:szCs w:val="24"/>
          <w:highlight w:val="none"/>
        </w:rPr>
        <w:outlineLvl w:val="1"/>
      </w:pPr>
      <w:r/>
      <w:bookmarkStart w:id="85" w:name="_Toc23704"/>
      <w:r/>
      <w:bookmarkStart w:id="86" w:name="_Toc6167"/>
      <w:r/>
      <w:bookmarkStart w:id="87" w:name="_Toc9225"/>
      <w:r/>
      <w:bookmarkStart w:id="88" w:name="_Toc14507"/>
      <w:r>
        <w:rPr>
          <w:rFonts w:hint="eastAsia" w:ascii="宋体" w:hAnsi="宋体"/>
          <w:color w:val="000000"/>
          <w:sz w:val="24"/>
          <w:szCs w:val="24"/>
          <w:highlight w:val="none"/>
        </w:rPr>
        <w:t xml:space="preserve">1.采购人信息</w:t>
      </w:r>
      <w:bookmarkEnd w:id="85"/>
      <w:r/>
      <w:bookmarkEnd w:id="86"/>
      <w:r/>
      <w:bookmarkEnd w:id="87"/>
      <w:r/>
      <w:bookmarkEnd w:id="88"/>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称：连云港市第一人民医院</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地址：连云港市海州区振华东路6号</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联系人：魏老师</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联系方式：0518-85767868</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outlineLvl w:val="1"/>
      </w:pPr>
      <w:r/>
      <w:bookmarkStart w:id="89" w:name="_Toc11146"/>
      <w:r/>
      <w:bookmarkStart w:id="90" w:name="_Toc15526"/>
      <w:r/>
      <w:bookmarkStart w:id="91" w:name="_Toc18887"/>
      <w:r/>
      <w:bookmarkStart w:id="92" w:name="_Toc11908"/>
      <w:r>
        <w:rPr>
          <w:rFonts w:hint="eastAsia" w:ascii="宋体" w:hAnsi="宋体"/>
          <w:color w:val="000000"/>
          <w:sz w:val="24"/>
          <w:szCs w:val="24"/>
          <w:highlight w:val="none"/>
        </w:rPr>
        <w:t xml:space="preserve">2.代理机构信息</w:t>
      </w:r>
      <w:bookmarkEnd w:id="89"/>
      <w:r/>
      <w:bookmarkEnd w:id="90"/>
      <w:r/>
      <w:bookmarkEnd w:id="91"/>
      <w:r/>
      <w:bookmarkEnd w:id="92"/>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名称：江苏鸿成工程项目管理有限公司</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址：连云港市海州区郁洲北路9号瀛洲大厦209室</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联系人：王工</w:t>
      </w:r>
      <w:r>
        <w:rPr>
          <w:rFonts w:hint="eastAsia" w:ascii="宋体" w:hAnsi="宋体"/>
          <w:color w:val="000000"/>
          <w:sz w:val="24"/>
          <w:szCs w:val="24"/>
          <w:highlight w:val="none"/>
        </w:rPr>
      </w:r>
      <w:r/>
    </w:p>
    <w:p>
      <w:pPr>
        <w:pStyle w:val="1120"/>
        <w:ind w:left="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联系方式：0518-81061799</w:t>
      </w:r>
      <w:r>
        <w:rPr>
          <w:rFonts w:hint="eastAsia" w:ascii="宋体" w:hAnsi="宋体"/>
          <w:color w:val="000000"/>
          <w:sz w:val="24"/>
          <w:szCs w:val="24"/>
          <w:highlight w:val="none"/>
        </w:rPr>
      </w:r>
      <w:r/>
    </w:p>
    <w:p>
      <w:pPr>
        <w:pStyle w:val="1120"/>
        <w:ind w:left="0" w:firstLine="480"/>
        <w:spacing w:line="360" w:lineRule="auto"/>
        <w:rPr>
          <w:rFonts w:ascii="宋体" w:hAnsi="宋体"/>
          <w:color w:val="000000"/>
          <w:sz w:val="24"/>
          <w:szCs w:val="24"/>
          <w:highlight w:val="none"/>
        </w:rPr>
        <w:outlineLvl w:val="1"/>
      </w:pPr>
      <w:r/>
      <w:bookmarkStart w:id="93" w:name="_Toc15178"/>
      <w:r>
        <w:rPr>
          <w:rFonts w:hint="eastAsia" w:ascii="宋体" w:hAnsi="宋体"/>
          <w:color w:val="000000"/>
          <w:sz w:val="24"/>
          <w:szCs w:val="24"/>
          <w:highlight w:val="none"/>
        </w:rPr>
        <w:t xml:space="preserve">3.项目联系方式</w:t>
      </w:r>
      <w:bookmarkEnd w:id="93"/>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项目联系人：尤老师</w:t>
      </w:r>
      <w:r>
        <w:rPr>
          <w:rFonts w:ascii="宋体" w:hAnsi="宋体"/>
          <w:color w:val="000000"/>
          <w:sz w:val="24"/>
          <w:szCs w:val="24"/>
          <w:highlight w:val="none"/>
        </w:rPr>
      </w:r>
      <w:r/>
    </w:p>
    <w:p>
      <w:pPr>
        <w:pStyle w:val="821"/>
        <w:ind w:firstLine="498"/>
        <w:keepLines/>
        <w:keepNext/>
        <w:spacing w:line="360" w:lineRule="auto"/>
        <w:rPr>
          <w:rFonts w:ascii="宋体" w:hAnsi="宋体"/>
          <w:color w:val="000000"/>
          <w:sz w:val="24"/>
          <w:szCs w:val="24"/>
          <w:highlight w:val="none"/>
        </w:rPr>
      </w:pPr>
      <w:r/>
      <w:bookmarkStart w:id="94" w:name="_Toc22886"/>
      <w:r>
        <w:rPr>
          <w:rFonts w:hint="eastAsia" w:ascii="宋体" w:hAnsi="宋体"/>
          <w:color w:val="000000"/>
          <w:sz w:val="24"/>
          <w:szCs w:val="24"/>
          <w:highlight w:val="none"/>
        </w:rPr>
        <w:t xml:space="preserve">电      话：</w:t>
      </w:r>
      <w:bookmarkEnd w:id="94"/>
      <w:r>
        <w:rPr>
          <w:rFonts w:hint="eastAsia" w:ascii="宋体" w:hAnsi="宋体"/>
          <w:color w:val="000000"/>
          <w:sz w:val="24"/>
          <w:szCs w:val="24"/>
          <w:highlight w:val="none"/>
        </w:rPr>
        <w:t xml:space="preserve">18961322678</w:t>
      </w:r>
      <w:r>
        <w:rPr>
          <w:rFonts w:ascii="宋体" w:hAnsi="宋体"/>
          <w:color w:val="000000"/>
          <w:sz w:val="24"/>
          <w:szCs w:val="24"/>
          <w:highlight w:val="none"/>
        </w:rPr>
      </w:r>
      <w:r/>
    </w:p>
    <w:p>
      <w:pPr>
        <w:pStyle w:val="821"/>
        <w:ind w:firstLine="643"/>
        <w:keepLines/>
        <w:keepNext/>
        <w:spacing w:line="360" w:lineRule="auto"/>
        <w:rPr>
          <w:rFonts w:ascii="Times New Roman" w:hAnsi="Times New Roman"/>
          <w:b/>
          <w:bCs/>
          <w:color w:val="000000"/>
          <w:sz w:val="32"/>
          <w:szCs w:val="32"/>
          <w:highlight w:val="none"/>
        </w:rPr>
        <w:outlineLvl w:val="0"/>
      </w:pPr>
      <w:r/>
      <w:bookmarkStart w:id="95" w:name="_Toc17598"/>
      <w:r/>
      <w:bookmarkStart w:id="96" w:name="_Toc13285"/>
      <w:r/>
      <w:bookmarkStart w:id="97" w:name="_Toc10927"/>
      <w:r/>
      <w:bookmarkStart w:id="98" w:name="_Toc11503"/>
      <w:r>
        <w:rPr>
          <w:rFonts w:hint="eastAsia" w:ascii="Times New Roman" w:hAnsi="Times New Roman"/>
          <w:b/>
          <w:bCs/>
          <w:color w:val="000000"/>
          <w:sz w:val="32"/>
          <w:szCs w:val="32"/>
          <w:highlight w:val="none"/>
        </w:rPr>
        <w:t xml:space="preserve">八、其他</w:t>
      </w:r>
      <w:bookmarkEnd w:id="95"/>
      <w:r/>
      <w:bookmarkEnd w:id="96"/>
      <w:r/>
      <w:bookmarkEnd w:id="97"/>
      <w:r/>
      <w:bookmarkEnd w:id="98"/>
      <w:r>
        <w:rPr>
          <w:rFonts w:ascii="Times New Roman" w:hAnsi="Times New Roman"/>
          <w:b/>
          <w:bCs/>
          <w:color w:val="000000"/>
          <w:sz w:val="32"/>
          <w:szCs w:val="32"/>
          <w:highlight w:val="none"/>
        </w:rPr>
      </w:r>
      <w:r/>
    </w:p>
    <w:p>
      <w:pPr>
        <w:pStyle w:val="821"/>
        <w:ind w:firstLine="480"/>
        <w:spacing w:line="360" w:lineRule="auto"/>
        <w:tabs>
          <w:tab w:val="left" w:pos="900" w:leader="none"/>
        </w:tabs>
        <w:rPr>
          <w:rFonts w:hint="eastAsia" w:ascii="宋体" w:hAnsi="宋体"/>
          <w:bCs/>
          <w:color w:val="000000"/>
          <w:sz w:val="24"/>
          <w:szCs w:val="24"/>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bCs/>
          <w:color w:val="000000"/>
          <w:sz w:val="24"/>
          <w:szCs w:val="24"/>
          <w:highlight w:val="none"/>
        </w:rPr>
        <w:t xml:space="preserve">根据省财政厅《关于更换全省政府采购交易系统CA数字证书和电子签章的通知》（苏财购〔2023〕101号），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821"/>
        <w:ind w:firstLine="48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bCs/>
          <w:color w:val="000000"/>
          <w:sz w:val="24"/>
          <w:szCs w:val="24"/>
          <w:highlight w:val="none"/>
        </w:rPr>
      </w:r>
      <w:r/>
    </w:p>
    <w:p>
      <w:pPr>
        <w:pStyle w:val="821"/>
        <w:ind w:firstLine="480"/>
        <w:spacing w:line="360" w:lineRule="auto"/>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821"/>
        <w:ind w:firstLine="48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.有关本次招标的事项若存在变动或修改，敬请及时关注“江苏政府采购网”发布的更正公告。</w:t>
      </w:r>
      <w:r>
        <w:rPr>
          <w:rFonts w:hint="eastAsia" w:ascii="宋体" w:hAnsi="宋体"/>
          <w:bCs/>
          <w:color w:val="000000"/>
          <w:sz w:val="24"/>
          <w:szCs w:val="24"/>
          <w:highlight w:val="none"/>
        </w:rPr>
      </w:r>
      <w:r/>
    </w:p>
    <w:p>
      <w:pPr>
        <w:pStyle w:val="821"/>
        <w:ind w:firstLine="48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本次招标不收取投标保证金。</w:t>
      </w:r>
      <w:r>
        <w:rPr>
          <w:rFonts w:hint="eastAsia" w:ascii="宋体" w:hAnsi="宋体"/>
          <w:bCs/>
          <w:color w:val="000000"/>
          <w:sz w:val="24"/>
          <w:szCs w:val="24"/>
          <w:highlight w:val="none"/>
        </w:rPr>
      </w:r>
      <w:r/>
    </w:p>
    <w:p>
      <w:pPr>
        <w:pStyle w:val="821"/>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21"/>
        <w:jc w:val="center"/>
        <w:spacing w:line="360" w:lineRule="auto"/>
        <w:rPr>
          <w:rFonts w:hint="eastAsia" w:ascii="黑体" w:hAnsi="Arial" w:eastAsia="黑体" w:cs="Arial"/>
          <w:color w:val="000000"/>
          <w:sz w:val="44"/>
          <w:szCs w:val="44"/>
          <w:highlight w:val="none"/>
        </w:rPr>
        <w:outlineLvl w:val="0"/>
      </w:pPr>
      <w:r>
        <w:rPr>
          <w:rFonts w:ascii="宋体" w:hAnsi="宋体"/>
          <w:color w:val="000000"/>
          <w:sz w:val="24"/>
          <w:szCs w:val="24"/>
          <w:highlight w:val="none"/>
        </w:rPr>
        <w:br w:type="page" w:clear="all"/>
      </w:r>
      <w:bookmarkStart w:id="99" w:name="_Toc120614211"/>
      <w:r/>
      <w:bookmarkStart w:id="100" w:name="_Toc13014"/>
      <w:r/>
      <w:bookmarkStart w:id="101" w:name="_Toc8078"/>
      <w:r/>
      <w:bookmarkStart w:id="102" w:name="_Toc416"/>
      <w:r/>
      <w:bookmarkStart w:id="103" w:name="_Toc13224"/>
      <w:r>
        <w:rPr>
          <w:rFonts w:hint="eastAsia" w:ascii="黑体" w:hAnsi="Arial" w:eastAsia="黑体" w:cs="Arial"/>
          <w:b/>
          <w:bCs/>
          <w:color w:val="000000"/>
          <w:sz w:val="44"/>
          <w:szCs w:val="44"/>
          <w:highlight w:val="none"/>
        </w:rPr>
        <w:t xml:space="preserve">第二章  </w:t>
      </w:r>
      <w:bookmarkEnd w:id="2"/>
      <w:r/>
      <w:bookmarkEnd w:id="3"/>
      <w:r/>
      <w:bookmarkEnd w:id="4"/>
      <w:r/>
      <w:bookmarkEnd w:id="5"/>
      <w:r/>
      <w:bookmarkEnd w:id="6"/>
      <w:r/>
      <w:bookmarkEnd w:id="99"/>
      <w:r/>
      <w:bookmarkStart w:id="104" w:name="_Toc513029202"/>
      <w:r/>
      <w:bookmarkStart w:id="105" w:name="_Toc120614213"/>
      <w:r/>
      <w:bookmarkStart w:id="106" w:name="_Toc16938518"/>
      <w:r/>
      <w:bookmarkStart w:id="107" w:name="_Toc20823274"/>
      <w:r>
        <w:rPr>
          <w:rFonts w:hint="eastAsia" w:ascii="黑体" w:hAnsi="Arial" w:eastAsia="黑体" w:cs="Arial"/>
          <w:b/>
          <w:bCs/>
          <w:color w:val="000000"/>
          <w:sz w:val="44"/>
          <w:szCs w:val="44"/>
          <w:highlight w:val="none"/>
        </w:rPr>
        <w:t xml:space="preserve">投标人须知</w:t>
      </w:r>
      <w:bookmarkEnd w:id="100"/>
      <w:r/>
      <w:bookmarkEnd w:id="101"/>
      <w:r/>
      <w:bookmarkEnd w:id="102"/>
      <w:r/>
      <w:bookmarkEnd w:id="103"/>
      <w:r/>
      <w:bookmarkEnd w:id="104"/>
      <w:r/>
      <w:bookmarkEnd w:id="105"/>
      <w:r/>
      <w:bookmarkEnd w:id="106"/>
      <w:r/>
      <w:bookmarkEnd w:id="107"/>
      <w:r>
        <w:rPr>
          <w:rFonts w:hint="eastAsia" w:ascii="黑体" w:hAnsi="Arial" w:eastAsia="黑体" w:cs="Arial"/>
          <w:color w:val="000000"/>
          <w:sz w:val="44"/>
          <w:szCs w:val="44"/>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108" w:name="_Toc28532"/>
      <w:r/>
      <w:bookmarkStart w:id="109" w:name="_Toc7136"/>
      <w:r/>
      <w:bookmarkStart w:id="110" w:name="_Toc513029203"/>
      <w:r/>
      <w:bookmarkStart w:id="111" w:name="_Toc120614214"/>
      <w:r/>
      <w:bookmarkStart w:id="112" w:name="_Toc20823275"/>
      <w:r/>
      <w:bookmarkStart w:id="113" w:name="_Toc9536"/>
      <w:r/>
      <w:bookmarkStart w:id="114" w:name="_Toc1786"/>
      <w:r/>
      <w:bookmarkStart w:id="115" w:name="_Toc16938519"/>
      <w:r>
        <w:rPr>
          <w:rFonts w:hint="eastAsia" w:ascii="Times New Roman" w:hAnsi="Times New Roman"/>
          <w:b/>
          <w:bCs/>
          <w:color w:val="000000"/>
          <w:sz w:val="32"/>
          <w:szCs w:val="32"/>
          <w:highlight w:val="none"/>
        </w:rPr>
        <w:t xml:space="preserve">一、总则</w:t>
      </w:r>
      <w:bookmarkEnd w:id="108"/>
      <w:r/>
      <w:bookmarkEnd w:id="109"/>
      <w:r/>
      <w:bookmarkEnd w:id="110"/>
      <w:r/>
      <w:bookmarkEnd w:id="111"/>
      <w:r/>
      <w:bookmarkEnd w:id="112"/>
      <w:r/>
      <w:bookmarkEnd w:id="113"/>
      <w:r/>
      <w:bookmarkEnd w:id="114"/>
      <w:r/>
      <w:bookmarkEnd w:id="115"/>
      <w:r>
        <w:rPr>
          <w:rFonts w:hint="eastAsia" w:ascii="Times New Roman" w:hAnsi="Times New Roman"/>
          <w:b/>
          <w:bCs/>
          <w:color w:val="000000"/>
          <w:sz w:val="32"/>
          <w:szCs w:val="32"/>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16" w:name="_Hlt16619475"/>
      <w:r/>
      <w:bookmarkEnd w:id="116"/>
      <w:r/>
      <w:bookmarkStart w:id="117" w:name="_Toc458694821"/>
      <w:r/>
      <w:bookmarkStart w:id="118" w:name="_Toc16938520"/>
      <w:r/>
      <w:bookmarkStart w:id="119" w:name="_Toc513029204"/>
      <w:r/>
      <w:bookmarkStart w:id="120" w:name="_Toc20823276"/>
      <w:r/>
      <w:bookmarkStart w:id="121" w:name="_Toc631"/>
      <w:r/>
      <w:bookmarkStart w:id="122" w:name="_Toc3775"/>
      <w:r/>
      <w:bookmarkStart w:id="123" w:name="_Toc2077"/>
      <w:r/>
      <w:bookmarkStart w:id="124" w:name="_Toc17897"/>
      <w:r>
        <w:rPr>
          <w:rFonts w:hint="eastAsia" w:ascii="Arial" w:hAnsi="Arial" w:eastAsia="黑体" w:cs="Arial"/>
          <w:color w:val="000000"/>
          <w:sz w:val="28"/>
          <w:szCs w:val="28"/>
          <w:highlight w:val="none"/>
        </w:rPr>
        <w:t xml:space="preserve">1</w:t>
      </w:r>
      <w:bookmarkEnd w:id="117"/>
      <w:r>
        <w:rPr>
          <w:rFonts w:hint="eastAsia" w:ascii="Arial" w:hAnsi="Arial" w:eastAsia="黑体" w:cs="Arial"/>
          <w:color w:val="000000"/>
          <w:sz w:val="28"/>
          <w:szCs w:val="28"/>
          <w:highlight w:val="none"/>
        </w:rPr>
        <w:t xml:space="preserve">、招标方式</w:t>
      </w:r>
      <w:bookmarkEnd w:id="118"/>
      <w:r/>
      <w:bookmarkEnd w:id="119"/>
      <w:r/>
      <w:bookmarkEnd w:id="120"/>
      <w:r/>
      <w:bookmarkEnd w:id="121"/>
      <w:r/>
      <w:bookmarkEnd w:id="122"/>
      <w:r/>
      <w:bookmarkEnd w:id="123"/>
      <w:r/>
      <w:bookmarkEnd w:id="124"/>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25" w:name="_Toc16938521"/>
      <w:r/>
      <w:bookmarkStart w:id="126" w:name="_Toc10602"/>
      <w:r/>
      <w:bookmarkStart w:id="127" w:name="_Toc5214"/>
      <w:r/>
      <w:bookmarkStart w:id="128" w:name="_Toc10189"/>
      <w:r/>
      <w:bookmarkStart w:id="129" w:name="_Toc12127"/>
      <w:r/>
      <w:bookmarkStart w:id="130" w:name="_Toc513029205"/>
      <w:r/>
      <w:bookmarkStart w:id="131" w:name="_Toc20823277"/>
      <w:r>
        <w:rPr>
          <w:rFonts w:hint="eastAsia" w:ascii="Arial" w:hAnsi="Arial" w:eastAsia="黑体" w:cs="Arial"/>
          <w:color w:val="000000"/>
          <w:sz w:val="28"/>
          <w:szCs w:val="28"/>
          <w:highlight w:val="none"/>
        </w:rPr>
        <w:t xml:space="preserve">2、合格的投标人</w:t>
      </w:r>
      <w:bookmarkEnd w:id="125"/>
      <w:r/>
      <w:bookmarkEnd w:id="126"/>
      <w:r/>
      <w:bookmarkEnd w:id="127"/>
      <w:r/>
      <w:bookmarkEnd w:id="128"/>
      <w:r/>
      <w:bookmarkEnd w:id="129"/>
      <w:r/>
      <w:bookmarkEnd w:id="130"/>
      <w:r/>
      <w:bookmarkEnd w:id="131"/>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32" w:name="_Toc513029206"/>
      <w:r/>
      <w:bookmarkStart w:id="133" w:name="_Toc278"/>
      <w:r/>
      <w:bookmarkStart w:id="134" w:name="_Toc11936"/>
      <w:r/>
      <w:bookmarkStart w:id="135" w:name="_Toc21847"/>
      <w:r/>
      <w:bookmarkStart w:id="136" w:name="_Toc28736"/>
      <w:r/>
      <w:bookmarkStart w:id="137" w:name="_Toc16938522"/>
      <w:r/>
      <w:bookmarkStart w:id="138" w:name="_Toc20823278"/>
      <w:r>
        <w:rPr>
          <w:rFonts w:hint="eastAsia" w:ascii="Arial" w:hAnsi="Arial" w:eastAsia="黑体" w:cs="Arial"/>
          <w:color w:val="000000"/>
          <w:sz w:val="28"/>
          <w:szCs w:val="28"/>
          <w:highlight w:val="none"/>
        </w:rPr>
        <w:t xml:space="preserve">3、适用法律</w:t>
      </w:r>
      <w:bookmarkEnd w:id="132"/>
      <w:r/>
      <w:bookmarkEnd w:id="133"/>
      <w:r/>
      <w:bookmarkEnd w:id="134"/>
      <w:r/>
      <w:bookmarkEnd w:id="135"/>
      <w:r/>
      <w:bookmarkEnd w:id="136"/>
      <w:r/>
      <w:bookmarkEnd w:id="137"/>
      <w:r/>
      <w:bookmarkEnd w:id="138"/>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39" w:name="_Toc20823279"/>
      <w:r/>
      <w:bookmarkStart w:id="140" w:name="_Toc10059"/>
      <w:r/>
      <w:bookmarkStart w:id="141" w:name="_Toc16938523"/>
      <w:r/>
      <w:bookmarkStart w:id="142" w:name="_Toc513029207"/>
      <w:r/>
      <w:bookmarkStart w:id="143" w:name="_Toc25633"/>
      <w:r/>
      <w:bookmarkStart w:id="144" w:name="_Toc462564067"/>
      <w:r/>
      <w:bookmarkStart w:id="145" w:name="_Toc16398"/>
      <w:r/>
      <w:bookmarkStart w:id="146" w:name="_Toc27902"/>
      <w:r>
        <w:rPr>
          <w:rFonts w:hint="eastAsia" w:ascii="Arial" w:hAnsi="Arial" w:eastAsia="黑体" w:cs="Arial"/>
          <w:color w:val="000000"/>
          <w:sz w:val="28"/>
          <w:szCs w:val="28"/>
          <w:highlight w:val="none"/>
        </w:rPr>
        <w:t xml:space="preserve">4、投标费用</w:t>
      </w:r>
      <w:bookmarkEnd w:id="139"/>
      <w:r/>
      <w:bookmarkEnd w:id="140"/>
      <w:r/>
      <w:bookmarkEnd w:id="141"/>
      <w:r/>
      <w:bookmarkEnd w:id="142"/>
      <w:r/>
      <w:bookmarkEnd w:id="143"/>
      <w:r/>
      <w:bookmarkEnd w:id="144"/>
      <w:r/>
      <w:bookmarkEnd w:id="145"/>
      <w:r/>
      <w:bookmarkEnd w:id="146"/>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投标人应自行承担所有与参加投标有关的费用，无论投标过程中的做法和结果如何，江苏鸿成工程项目管理有限公司（以下简称采购代理机构）在任何情况下均无义务和责任承担这些费用。</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4.2本次招标采购代理服务费及其他：</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（1）按照国家计委计价格〔2002〕1980号文标准的40%计取；</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（2）涉及本采购项目的其他费用，按相关规定执行。</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以上费用最终由中标人在领取中标通知书时一次性支付，投标人须将此部分费用综合考虑在报价中，不得单列。</w:t>
      </w:r>
      <w:r>
        <w:rPr>
          <w:rFonts w:hint="eastAsia" w:ascii="宋体" w:hAnsi="宋体"/>
          <w:color w:val="000000"/>
          <w:sz w:val="24"/>
          <w:szCs w:val="21"/>
          <w:highlight w:val="none"/>
        </w:rPr>
      </w:r>
      <w:r/>
    </w:p>
    <w:p>
      <w:pPr>
        <w:pStyle w:val="821"/>
        <w:ind w:firstLine="602"/>
        <w:keepLines/>
        <w:keepNext/>
        <w:spacing w:line="360" w:lineRule="auto"/>
        <w:rPr>
          <w:rFonts w:hint="eastAsia" w:ascii="黑体" w:hAnsi="宋体" w:eastAsia="黑体" w:cs="Arial"/>
          <w:color w:val="000000"/>
          <w:sz w:val="28"/>
          <w:szCs w:val="28"/>
          <w:highlight w:val="none"/>
        </w:rPr>
        <w:outlineLvl w:val="1"/>
      </w:pPr>
      <w:r/>
      <w:bookmarkStart w:id="147" w:name="_Toc13484"/>
      <w:r/>
      <w:bookmarkStart w:id="148" w:name="_Toc26935"/>
      <w:r/>
      <w:bookmarkStart w:id="149" w:name="_Toc14146"/>
      <w:r/>
      <w:bookmarkStart w:id="150" w:name="_Toc13039"/>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47"/>
      <w:r/>
      <w:bookmarkEnd w:id="148"/>
      <w:r/>
      <w:bookmarkEnd w:id="149"/>
      <w:r/>
      <w:bookmarkEnd w:id="150"/>
      <w:r>
        <w:rPr>
          <w:rFonts w:hint="eastAsia" w:ascii="黑体" w:hAnsi="宋体" w:eastAsia="黑体" w:cs="Arial"/>
          <w:color w:val="000000"/>
          <w:sz w:val="28"/>
          <w:szCs w:val="28"/>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151" w:name="_Toc120614215"/>
      <w:r/>
      <w:bookmarkStart w:id="152" w:name="_Toc31399"/>
      <w:r/>
      <w:bookmarkStart w:id="153" w:name="_Toc6958"/>
      <w:r/>
      <w:bookmarkStart w:id="154" w:name="_Toc513029209"/>
      <w:r/>
      <w:bookmarkStart w:id="155" w:name="_Toc16938525"/>
      <w:r/>
      <w:bookmarkStart w:id="156" w:name="_Toc2553"/>
      <w:r/>
      <w:bookmarkStart w:id="157" w:name="_Toc20823281"/>
      <w:r/>
      <w:bookmarkStart w:id="158" w:name="_Toc23770"/>
      <w:r>
        <w:rPr>
          <w:rFonts w:hint="eastAsia" w:ascii="Times New Roman" w:hAnsi="Times New Roman"/>
          <w:b/>
          <w:bCs/>
          <w:color w:val="000000"/>
          <w:sz w:val="32"/>
          <w:szCs w:val="32"/>
          <w:highlight w:val="none"/>
        </w:rPr>
        <w:t xml:space="preserve">二、招标文件</w:t>
      </w:r>
      <w:bookmarkEnd w:id="151"/>
      <w:r/>
      <w:bookmarkEnd w:id="152"/>
      <w:r/>
      <w:bookmarkEnd w:id="153"/>
      <w:r/>
      <w:bookmarkEnd w:id="154"/>
      <w:r/>
      <w:bookmarkEnd w:id="155"/>
      <w:r/>
      <w:bookmarkEnd w:id="156"/>
      <w:r/>
      <w:bookmarkEnd w:id="157"/>
      <w:r/>
      <w:bookmarkEnd w:id="158"/>
      <w:r>
        <w:rPr>
          <w:rFonts w:hint="eastAsia" w:ascii="Times New Roman" w:hAnsi="Times New Roman"/>
          <w:b/>
          <w:bCs/>
          <w:color w:val="000000"/>
          <w:sz w:val="32"/>
          <w:szCs w:val="32"/>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59" w:name="_Toc17550"/>
      <w:r/>
      <w:bookmarkStart w:id="160" w:name="_Toc513029210"/>
      <w:r/>
      <w:bookmarkStart w:id="161" w:name="_Toc16938526"/>
      <w:r/>
      <w:bookmarkStart w:id="162" w:name="_Toc20823282"/>
      <w:r/>
      <w:bookmarkStart w:id="163" w:name="_Toc29450"/>
      <w:r/>
      <w:bookmarkStart w:id="164" w:name="_Toc22903"/>
      <w:r/>
      <w:bookmarkStart w:id="165" w:name="_Toc22366"/>
      <w:r>
        <w:rPr>
          <w:rFonts w:hint="eastAsia" w:ascii="Arial" w:hAnsi="Arial" w:eastAsia="黑体" w:cs="Arial"/>
          <w:color w:val="000000"/>
          <w:sz w:val="28"/>
          <w:szCs w:val="28"/>
          <w:highlight w:val="none"/>
        </w:rPr>
        <w:t xml:space="preserve">6、招标文件构成</w:t>
      </w:r>
      <w:bookmarkEnd w:id="159"/>
      <w:r/>
      <w:bookmarkEnd w:id="160"/>
      <w:r/>
      <w:bookmarkEnd w:id="161"/>
      <w:r/>
      <w:bookmarkEnd w:id="162"/>
      <w:r/>
      <w:bookmarkEnd w:id="163"/>
      <w:r/>
      <w:bookmarkEnd w:id="164"/>
      <w:r/>
      <w:bookmarkEnd w:id="165"/>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21"/>
        <w:ind w:firstLine="480"/>
        <w:spacing w:line="360" w:lineRule="auto"/>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请仔细检查招标文件是否齐全，如有缺漏请立即与采购代理机构联系解决。</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66" w:name="_Toc513029211"/>
      <w:r/>
      <w:bookmarkStart w:id="167" w:name="_Toc20823283"/>
      <w:r/>
      <w:bookmarkStart w:id="168" w:name="_Toc4869"/>
      <w:r/>
      <w:bookmarkStart w:id="169" w:name="_Toc23873"/>
      <w:r/>
      <w:bookmarkStart w:id="170" w:name="_Toc16938527"/>
      <w:r/>
      <w:bookmarkStart w:id="171" w:name="_Toc5975"/>
      <w:r/>
      <w:bookmarkStart w:id="172" w:name="_Toc462564070"/>
      <w:r/>
      <w:bookmarkStart w:id="173" w:name="_Toc26045"/>
      <w:r>
        <w:rPr>
          <w:rFonts w:hint="eastAsia" w:ascii="Arial" w:hAnsi="Arial" w:eastAsia="黑体" w:cs="Arial"/>
          <w:color w:val="000000"/>
          <w:sz w:val="28"/>
          <w:szCs w:val="28"/>
          <w:highlight w:val="none"/>
        </w:rPr>
        <w:t xml:space="preserve">7、招标文件的澄清</w:t>
      </w:r>
      <w:bookmarkEnd w:id="166"/>
      <w:r/>
      <w:bookmarkEnd w:id="167"/>
      <w:r/>
      <w:bookmarkEnd w:id="168"/>
      <w:r/>
      <w:bookmarkEnd w:id="169"/>
      <w:r/>
      <w:bookmarkEnd w:id="170"/>
      <w:r/>
      <w:bookmarkEnd w:id="171"/>
      <w:r/>
      <w:bookmarkEnd w:id="172"/>
      <w:r/>
      <w:bookmarkEnd w:id="173"/>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按招标公告中的通讯地址，以书面形式通知采购代理机构。</w:t>
      </w:r>
      <w:r>
        <w:rPr>
          <w:rFonts w:hint="eastAsia"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74" w:name="_Toc462564071"/>
      <w:r/>
      <w:bookmarkStart w:id="175" w:name="_Toc13596"/>
      <w:r/>
      <w:bookmarkStart w:id="176" w:name="_Toc18994"/>
      <w:r/>
      <w:bookmarkStart w:id="177" w:name="_Toc30493"/>
      <w:r/>
      <w:bookmarkStart w:id="178" w:name="_Toc17024"/>
      <w:r/>
      <w:bookmarkStart w:id="179" w:name="_Toc513029212"/>
      <w:r/>
      <w:bookmarkStart w:id="180" w:name="_Toc16938528"/>
      <w:r/>
      <w:bookmarkStart w:id="181" w:name="_Toc20823284"/>
      <w:r>
        <w:rPr>
          <w:rFonts w:hint="eastAsia" w:ascii="Arial" w:hAnsi="Arial" w:eastAsia="黑体" w:cs="Arial"/>
          <w:color w:val="000000"/>
          <w:sz w:val="28"/>
          <w:szCs w:val="28"/>
          <w:highlight w:val="none"/>
        </w:rPr>
        <w:t xml:space="preserve">8、招标文件的修改</w:t>
      </w:r>
      <w:bookmarkEnd w:id="174"/>
      <w:r/>
      <w:bookmarkEnd w:id="175"/>
      <w:r/>
      <w:bookmarkEnd w:id="176"/>
      <w:r/>
      <w:bookmarkEnd w:id="177"/>
      <w:r/>
      <w:bookmarkEnd w:id="178"/>
      <w:r/>
      <w:bookmarkEnd w:id="179"/>
      <w:r/>
      <w:bookmarkEnd w:id="180"/>
      <w:r/>
      <w:bookmarkEnd w:id="181"/>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，采购代理机构可以对招标文件进行修改。</w:t>
      </w:r>
      <w:r>
        <w:rPr>
          <w:rFonts w:hint="eastAsia" w:ascii="宋体" w:hAnsi="宋体"/>
          <w:color w:val="000000"/>
          <w:sz w:val="24"/>
          <w:szCs w:val="21"/>
          <w:highlight w:val="none"/>
        </w:rPr>
      </w:r>
      <w:r/>
    </w:p>
    <w:p>
      <w:pPr>
        <w:pStyle w:val="821"/>
        <w:ind w:firstLine="480"/>
        <w:spacing w:line="360" w:lineRule="auto"/>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182" w:name="_Toc27956"/>
      <w:r/>
      <w:bookmarkStart w:id="183" w:name="_Toc20823285"/>
      <w:r/>
      <w:bookmarkStart w:id="184" w:name="_Toc513029213"/>
      <w:r/>
      <w:bookmarkStart w:id="185" w:name="_Toc30598"/>
      <w:r/>
      <w:bookmarkStart w:id="186" w:name="_Toc462564072"/>
      <w:r/>
      <w:bookmarkStart w:id="187" w:name="_Toc120614216"/>
      <w:r/>
      <w:bookmarkStart w:id="188" w:name="_Toc16938529"/>
      <w:r/>
      <w:bookmarkStart w:id="189" w:name="_Toc3031"/>
      <w:r/>
      <w:bookmarkStart w:id="190" w:name="_Toc15815"/>
      <w:r>
        <w:rPr>
          <w:rFonts w:hint="eastAsia" w:ascii="Times New Roman" w:hAnsi="Times New Roman"/>
          <w:b/>
          <w:bCs/>
          <w:color w:val="000000"/>
          <w:sz w:val="32"/>
          <w:szCs w:val="32"/>
          <w:highlight w:val="none"/>
        </w:rPr>
        <w:t xml:space="preserve">三、投标文件的编制</w:t>
      </w:r>
      <w:bookmarkEnd w:id="182"/>
      <w:r/>
      <w:bookmarkEnd w:id="183"/>
      <w:r/>
      <w:bookmarkEnd w:id="184"/>
      <w:r/>
      <w:bookmarkEnd w:id="185"/>
      <w:r/>
      <w:bookmarkEnd w:id="186"/>
      <w:r/>
      <w:bookmarkEnd w:id="187"/>
      <w:r/>
      <w:bookmarkEnd w:id="188"/>
      <w:r/>
      <w:bookmarkEnd w:id="189"/>
      <w:r/>
      <w:bookmarkEnd w:id="190"/>
      <w:r>
        <w:rPr>
          <w:rFonts w:hint="eastAsia" w:ascii="Times New Roman" w:hAnsi="Times New Roman"/>
          <w:b/>
          <w:bCs/>
          <w:color w:val="000000"/>
          <w:sz w:val="32"/>
          <w:szCs w:val="32"/>
          <w:highlight w:val="none"/>
        </w:rPr>
      </w:r>
      <w:r/>
    </w:p>
    <w:p>
      <w:pPr>
        <w:pStyle w:val="821"/>
        <w:ind w:firstLine="560"/>
        <w:keepLines/>
        <w:keepNext/>
        <w:spacing w:line="360" w:lineRule="auto"/>
        <w:rPr>
          <w:rFonts w:hint="eastAsia" w:ascii="Arial" w:hAnsi="Arial" w:eastAsia="黑体" w:cs="Arial"/>
          <w:b/>
          <w:color w:val="000000"/>
          <w:sz w:val="28"/>
          <w:szCs w:val="28"/>
          <w:highlight w:val="none"/>
        </w:rPr>
        <w:outlineLvl w:val="1"/>
      </w:pPr>
      <w:r/>
      <w:bookmarkStart w:id="191" w:name="_Toc16938530"/>
      <w:r/>
      <w:bookmarkStart w:id="192" w:name="_Toc20796"/>
      <w:r/>
      <w:bookmarkStart w:id="193" w:name="_Toc30948"/>
      <w:r/>
      <w:bookmarkStart w:id="194" w:name="_Toc20823286"/>
      <w:r/>
      <w:bookmarkStart w:id="195" w:name="_Toc12620"/>
      <w:r/>
      <w:bookmarkStart w:id="196" w:name="_Toc513029214"/>
      <w:r/>
      <w:bookmarkStart w:id="197" w:name="_Toc462564073"/>
      <w:r/>
      <w:bookmarkStart w:id="198" w:name="_Toc24661"/>
      <w:r>
        <w:rPr>
          <w:rFonts w:hint="eastAsia" w:ascii="Arial" w:hAnsi="Arial" w:eastAsia="黑体" w:cs="Arial"/>
          <w:color w:val="000000"/>
          <w:sz w:val="28"/>
          <w:szCs w:val="28"/>
          <w:highlight w:val="none"/>
        </w:rPr>
        <w:t xml:space="preserve">9、投标文件的语言及度量衡单位</w:t>
      </w:r>
      <w:bookmarkEnd w:id="191"/>
      <w:r/>
      <w:bookmarkEnd w:id="192"/>
      <w:r/>
      <w:bookmarkEnd w:id="193"/>
      <w:r/>
      <w:bookmarkEnd w:id="194"/>
      <w:r/>
      <w:bookmarkEnd w:id="195"/>
      <w:r/>
      <w:bookmarkEnd w:id="196"/>
      <w:r/>
      <w:bookmarkEnd w:id="197"/>
      <w:r/>
      <w:bookmarkEnd w:id="198"/>
      <w:r>
        <w:rPr>
          <w:rFonts w:hint="eastAsia" w:ascii="Arial" w:hAnsi="Arial" w:eastAsia="黑体" w:cs="Arial"/>
          <w:b/>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199" w:name="_Toc5665"/>
      <w:r/>
      <w:bookmarkStart w:id="200" w:name="_Toc462564074"/>
      <w:r/>
      <w:bookmarkStart w:id="201" w:name="_Toc513029215"/>
      <w:r/>
      <w:bookmarkStart w:id="202" w:name="_Toc1965"/>
      <w:r/>
      <w:bookmarkStart w:id="203" w:name="_Toc27068"/>
      <w:r/>
      <w:bookmarkStart w:id="204" w:name="_Toc20823287"/>
      <w:r/>
      <w:bookmarkStart w:id="205" w:name="_Toc16938531"/>
      <w:r/>
      <w:bookmarkStart w:id="206" w:name="_Toc13292"/>
      <w:r>
        <w:rPr>
          <w:rFonts w:hint="eastAsia" w:ascii="Arial" w:hAnsi="Arial" w:eastAsia="黑体" w:cs="Arial"/>
          <w:color w:val="000000"/>
          <w:sz w:val="28"/>
          <w:szCs w:val="28"/>
          <w:highlight w:val="none"/>
        </w:rPr>
        <w:t xml:space="preserve">10、投标文件构成</w:t>
      </w:r>
      <w:bookmarkEnd w:id="199"/>
      <w:r/>
      <w:bookmarkEnd w:id="200"/>
      <w:r/>
      <w:bookmarkEnd w:id="201"/>
      <w:r/>
      <w:bookmarkEnd w:id="202"/>
      <w:r/>
      <w:bookmarkEnd w:id="203"/>
      <w:r/>
      <w:bookmarkEnd w:id="204"/>
      <w:r/>
      <w:bookmarkEnd w:id="205"/>
      <w:r/>
      <w:bookmarkEnd w:id="206"/>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07" w:name="_Hlt26668975"/>
      <w:r/>
      <w:bookmarkEnd w:id="207"/>
      <w:r/>
      <w:bookmarkStart w:id="208" w:name="_Hlt26670360"/>
      <w:r/>
      <w:bookmarkEnd w:id="208"/>
      <w:r/>
      <w:bookmarkStart w:id="209" w:name="_Hlt26954838"/>
      <w:r/>
      <w:bookmarkEnd w:id="209"/>
      <w:r/>
      <w:bookmarkStart w:id="210" w:name="_Toc17939"/>
      <w:r/>
      <w:bookmarkStart w:id="211" w:name="_Toc1563"/>
      <w:r/>
      <w:bookmarkStart w:id="212" w:name="_Toc10166"/>
      <w:r/>
      <w:bookmarkStart w:id="213" w:name="_Toc15780"/>
      <w:r/>
      <w:bookmarkStart w:id="214" w:name="_Toc49090509"/>
      <w:r/>
      <w:bookmarkStart w:id="215" w:name="_Toc513029219"/>
      <w:r/>
      <w:bookmarkStart w:id="216" w:name="_Toc14577357"/>
      <w:r/>
      <w:bookmarkStart w:id="217" w:name="_Toc49090507"/>
      <w:r/>
      <w:bookmarkStart w:id="218" w:name="_Toc14577354"/>
      <w:r/>
      <w:bookmarkStart w:id="219" w:name="_Toc513029216"/>
      <w:r/>
      <w:bookmarkStart w:id="220" w:name="_Toc49090508"/>
      <w:r/>
      <w:bookmarkStart w:id="221" w:name="_Toc14577355"/>
      <w:r>
        <w:rPr>
          <w:rFonts w:hint="eastAsia" w:ascii="Arial" w:hAnsi="Arial" w:eastAsia="黑体" w:cs="Arial"/>
          <w:color w:val="000000"/>
          <w:sz w:val="28"/>
          <w:szCs w:val="28"/>
          <w:highlight w:val="none"/>
        </w:rPr>
        <w:t xml:space="preserve">11、证明投标人及投标标的符合招标文件规定的文件</w:t>
      </w:r>
      <w:bookmarkEnd w:id="210"/>
      <w:r/>
      <w:bookmarkEnd w:id="211"/>
      <w:r/>
      <w:bookmarkEnd w:id="212"/>
      <w:r/>
      <w:bookmarkEnd w:id="213"/>
      <w:r/>
      <w:bookmarkEnd w:id="214"/>
      <w:r/>
      <w:bookmarkEnd w:id="215"/>
      <w:r/>
      <w:bookmarkEnd w:id="216"/>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4"/>
          <w:highlight w:val="none"/>
        </w:rPr>
      </w:pPr>
      <w:r/>
      <w:bookmarkEnd w:id="217"/>
      <w:r/>
      <w:bookmarkEnd w:id="218"/>
      <w:r/>
      <w:bookmarkEnd w:id="219"/>
      <w:r>
        <w:rPr>
          <w:rFonts w:hint="eastAsia" w:ascii="宋体" w:hAnsi="宋体"/>
          <w:color w:val="000000"/>
          <w:sz w:val="24"/>
          <w:szCs w:val="24"/>
          <w:highlight w:val="none"/>
        </w:rPr>
        <w:t xml:space="preserve">11.1 投标人应按照招标文件要求提交证明文件，证明其及投标标的符合招标文件规定。</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End w:id="220"/>
      <w:r/>
      <w:bookmarkEnd w:id="221"/>
      <w:r/>
      <w:bookmarkStart w:id="222" w:name="_Toc8226"/>
      <w:r/>
      <w:bookmarkStart w:id="223" w:name="_Toc30824"/>
      <w:r/>
      <w:bookmarkStart w:id="224" w:name="_Toc12373"/>
      <w:r/>
      <w:bookmarkStart w:id="225" w:name="_Toc24538"/>
      <w:r>
        <w:rPr>
          <w:rFonts w:hint="eastAsia" w:ascii="Arial" w:hAnsi="Arial" w:eastAsia="黑体" w:cs="Arial"/>
          <w:color w:val="000000"/>
          <w:sz w:val="28"/>
          <w:szCs w:val="28"/>
          <w:highlight w:val="none"/>
        </w:rPr>
        <w:t xml:space="preserve">12、投标分项报价表</w:t>
      </w:r>
      <w:bookmarkEnd w:id="222"/>
      <w:r/>
      <w:bookmarkEnd w:id="223"/>
      <w:r/>
      <w:bookmarkEnd w:id="224"/>
      <w:r/>
      <w:bookmarkEnd w:id="225"/>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投标人应按照招标文件规定格式填报投标分项报价表。</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26" w:name="_Hlt26954731"/>
      <w:r/>
      <w:bookmarkEnd w:id="226"/>
      <w:r/>
      <w:bookmarkStart w:id="227" w:name="_Hlt26670482"/>
      <w:r/>
      <w:bookmarkEnd w:id="227"/>
      <w:r/>
      <w:bookmarkStart w:id="228" w:name="_Hlt26670486"/>
      <w:r/>
      <w:bookmarkEnd w:id="228"/>
      <w:r/>
      <w:bookmarkStart w:id="229" w:name="_Hlt26954848"/>
      <w:r/>
      <w:bookmarkEnd w:id="229"/>
      <w:r/>
      <w:bookmarkStart w:id="230" w:name="_Hlt26954846"/>
      <w:r/>
      <w:bookmarkEnd w:id="230"/>
      <w:r/>
      <w:bookmarkStart w:id="231" w:name="_Toc31013"/>
      <w:r/>
      <w:bookmarkStart w:id="232" w:name="_Toc25844"/>
      <w:r/>
      <w:bookmarkStart w:id="233" w:name="_Toc31948"/>
      <w:r/>
      <w:bookmarkStart w:id="234" w:name="_Toc4358"/>
      <w:r>
        <w:rPr>
          <w:rFonts w:hint="eastAsia" w:ascii="Arial" w:hAnsi="Arial" w:eastAsia="黑体" w:cs="Arial"/>
          <w:color w:val="000000"/>
          <w:sz w:val="28"/>
          <w:szCs w:val="28"/>
          <w:highlight w:val="none"/>
        </w:rPr>
        <w:t xml:space="preserve">13、技术要求响应及偏离表、商务要求响应及偏离表</w:t>
      </w:r>
      <w:bookmarkEnd w:id="231"/>
      <w:r/>
      <w:bookmarkEnd w:id="232"/>
      <w:r/>
      <w:bookmarkEnd w:id="233"/>
      <w:r/>
      <w:bookmarkEnd w:id="234"/>
      <w:r>
        <w:rPr>
          <w:rFonts w:hint="eastAsia" w:ascii="Arial" w:hAnsi="Arial" w:eastAsia="黑体" w:cs="Arial"/>
          <w:color w:val="000000"/>
          <w:sz w:val="28"/>
          <w:szCs w:val="28"/>
          <w:highlight w:val="none"/>
        </w:rPr>
      </w:r>
      <w:r/>
    </w:p>
    <w:p>
      <w:pPr>
        <w:pStyle w:val="821"/>
        <w:ind w:firstLine="4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821"/>
        <w:ind w:firstLine="4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35" w:name="_Toc30359"/>
      <w:r/>
      <w:bookmarkStart w:id="236" w:name="_Toc2745"/>
      <w:r/>
      <w:bookmarkStart w:id="237" w:name="_Toc17173"/>
      <w:r/>
      <w:bookmarkStart w:id="238" w:name="_Toc17573"/>
      <w:r>
        <w:rPr>
          <w:rFonts w:hint="eastAsia" w:ascii="Arial" w:hAnsi="Arial" w:eastAsia="黑体" w:cs="Arial"/>
          <w:color w:val="000000"/>
          <w:sz w:val="28"/>
          <w:szCs w:val="28"/>
          <w:highlight w:val="none"/>
        </w:rPr>
        <w:t xml:space="preserve">14、服务承诺、培训计划、人员安排及其他</w:t>
      </w:r>
      <w:bookmarkEnd w:id="235"/>
      <w:r/>
      <w:bookmarkEnd w:id="236"/>
      <w:r/>
      <w:bookmarkEnd w:id="237"/>
      <w:r/>
      <w:bookmarkEnd w:id="238"/>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39" w:name="_Toc17680"/>
      <w:r/>
      <w:bookmarkStart w:id="240" w:name="_Toc3415"/>
      <w:r/>
      <w:bookmarkStart w:id="241" w:name="_Toc26082"/>
      <w:r/>
      <w:bookmarkStart w:id="242" w:name="_Toc8778"/>
      <w:r/>
      <w:bookmarkStart w:id="243" w:name="_Toc49090510"/>
      <w:r/>
      <w:bookmarkStart w:id="244" w:name="_Toc14577359"/>
      <w:r>
        <w:rPr>
          <w:rFonts w:hint="eastAsia" w:ascii="Arial" w:hAnsi="Arial" w:eastAsia="黑体" w:cs="Arial"/>
          <w:color w:val="000000"/>
          <w:sz w:val="28"/>
          <w:szCs w:val="28"/>
          <w:highlight w:val="none"/>
        </w:rPr>
        <w:t xml:space="preserve">15、投标函和开标一览表</w:t>
      </w:r>
      <w:bookmarkEnd w:id="239"/>
      <w:r/>
      <w:bookmarkEnd w:id="240"/>
      <w:r/>
      <w:bookmarkEnd w:id="241"/>
      <w:r/>
      <w:bookmarkEnd w:id="242"/>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End w:id="243"/>
      <w:r/>
      <w:bookmarkEnd w:id="244"/>
      <w:r/>
      <w:bookmarkStart w:id="245" w:name="_Toc25921"/>
      <w:r/>
      <w:bookmarkStart w:id="246" w:name="_Toc31751"/>
      <w:r/>
      <w:bookmarkStart w:id="247" w:name="_Toc49090511"/>
      <w:r/>
      <w:bookmarkStart w:id="248" w:name="_Toc2574"/>
      <w:r/>
      <w:bookmarkStart w:id="249" w:name="_Toc26859"/>
      <w:r/>
      <w:bookmarkStart w:id="250" w:name="_Toc14577360"/>
      <w:r>
        <w:rPr>
          <w:rFonts w:hint="eastAsia" w:ascii="Arial" w:hAnsi="Arial" w:eastAsia="黑体" w:cs="Arial"/>
          <w:color w:val="000000"/>
          <w:sz w:val="28"/>
          <w:szCs w:val="28"/>
          <w:highlight w:val="none"/>
        </w:rPr>
        <w:t xml:space="preserve">16、投标有效期</w:t>
      </w:r>
      <w:bookmarkEnd w:id="245"/>
      <w:r/>
      <w:bookmarkEnd w:id="246"/>
      <w:r/>
      <w:bookmarkEnd w:id="247"/>
      <w:r/>
      <w:bookmarkEnd w:id="248"/>
      <w:r/>
      <w:bookmarkEnd w:id="249"/>
      <w:r/>
      <w:bookmarkEnd w:id="250"/>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16.1投标有效期为采购代理机构规定的开标之日后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51" w:name="_Toc11289"/>
      <w:r/>
      <w:bookmarkStart w:id="252" w:name="_Toc5551"/>
      <w:r/>
      <w:bookmarkStart w:id="253" w:name="_Toc11803"/>
      <w:r/>
      <w:bookmarkStart w:id="254" w:name="_Toc2903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bookmarkEnd w:id="251"/>
      <w:r/>
      <w:bookmarkEnd w:id="252"/>
      <w:r/>
      <w:bookmarkEnd w:id="253"/>
      <w:r/>
      <w:bookmarkEnd w:id="254"/>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255" w:name="_Hlt26954739"/>
      <w:r/>
      <w:bookmarkEnd w:id="255"/>
      <w:r/>
      <w:bookmarkStart w:id="256" w:name="_Hlt26954852"/>
      <w:r/>
      <w:bookmarkEnd w:id="256"/>
      <w:r/>
      <w:bookmarkStart w:id="257" w:name="_Toc21371"/>
      <w:r/>
      <w:bookmarkStart w:id="258" w:name="_Toc21332"/>
      <w:r/>
      <w:bookmarkStart w:id="259" w:name="_Toc16938540"/>
      <w:r/>
      <w:bookmarkStart w:id="260" w:name="_Toc11300"/>
      <w:r/>
      <w:bookmarkStart w:id="261" w:name="_Toc513029224"/>
      <w:r/>
      <w:bookmarkStart w:id="262" w:name="_Toc120614217"/>
      <w:r/>
      <w:bookmarkStart w:id="263" w:name="_Toc20823296"/>
      <w:r/>
      <w:bookmarkStart w:id="264" w:name="_Toc10725"/>
      <w:r>
        <w:rPr>
          <w:rFonts w:hint="eastAsia" w:ascii="Times New Roman" w:hAnsi="Times New Roman"/>
          <w:b/>
          <w:bCs/>
          <w:color w:val="000000"/>
          <w:sz w:val="32"/>
          <w:szCs w:val="32"/>
          <w:highlight w:val="none"/>
        </w:rPr>
        <w:t xml:space="preserve">四、投标文件的递交</w:t>
      </w:r>
      <w:bookmarkEnd w:id="257"/>
      <w:r/>
      <w:bookmarkEnd w:id="258"/>
      <w:r/>
      <w:bookmarkEnd w:id="259"/>
      <w:r/>
      <w:bookmarkEnd w:id="260"/>
      <w:r/>
      <w:bookmarkEnd w:id="261"/>
      <w:r/>
      <w:bookmarkEnd w:id="262"/>
      <w:r/>
      <w:bookmarkEnd w:id="263"/>
      <w:r/>
      <w:bookmarkEnd w:id="264"/>
      <w:r>
        <w:rPr>
          <w:rFonts w:hint="eastAsia" w:ascii="Times New Roman" w:hAnsi="Times New Roman"/>
          <w:b/>
          <w:bCs/>
          <w:color w:val="000000"/>
          <w:sz w:val="32"/>
          <w:szCs w:val="32"/>
          <w:highlight w:val="none"/>
        </w:rPr>
      </w:r>
      <w:r/>
    </w:p>
    <w:p>
      <w:pPr>
        <w:pStyle w:val="821"/>
        <w:ind w:firstLine="560"/>
        <w:keepLines/>
        <w:keepNext/>
        <w:spacing w:line="360" w:lineRule="auto"/>
        <w:rPr>
          <w:rFonts w:hint="eastAsia" w:ascii="黑体" w:hAnsi="Arial" w:eastAsia="黑体" w:cs="Arial"/>
          <w:color w:val="000000"/>
          <w:sz w:val="28"/>
          <w:szCs w:val="28"/>
          <w:highlight w:val="none"/>
        </w:rPr>
        <w:outlineLvl w:val="1"/>
      </w:pPr>
      <w:r/>
      <w:bookmarkStart w:id="265" w:name="_Toc462564084"/>
      <w:r/>
      <w:bookmarkStart w:id="266" w:name="_Toc20823297"/>
      <w:r/>
      <w:bookmarkStart w:id="267" w:name="_Toc513029225"/>
      <w:r/>
      <w:bookmarkStart w:id="268" w:name="_Toc16938541"/>
      <w:r/>
      <w:bookmarkStart w:id="269" w:name="_Toc25329"/>
      <w:r/>
      <w:bookmarkStart w:id="270" w:name="_Toc23746"/>
      <w:r/>
      <w:bookmarkStart w:id="271" w:name="_Toc5063"/>
      <w:r/>
      <w:bookmarkStart w:id="272" w:name="_Toc31656"/>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65"/>
      <w:r/>
      <w:bookmarkEnd w:id="266"/>
      <w:r/>
      <w:bookmarkEnd w:id="267"/>
      <w:r/>
      <w:bookmarkEnd w:id="268"/>
      <w:r>
        <w:rPr>
          <w:rFonts w:hint="eastAsia" w:ascii="黑体" w:hAnsi="Arial" w:eastAsia="黑体" w:cs="Arial"/>
          <w:color w:val="000000"/>
          <w:sz w:val="28"/>
          <w:szCs w:val="28"/>
          <w:highlight w:val="none"/>
        </w:rPr>
        <w:t xml:space="preserve">的递交</w:t>
      </w:r>
      <w:bookmarkEnd w:id="269"/>
      <w:r/>
      <w:bookmarkEnd w:id="270"/>
      <w:r/>
      <w:bookmarkEnd w:id="271"/>
      <w:r/>
      <w:bookmarkEnd w:id="272"/>
      <w:r>
        <w:rPr>
          <w:rFonts w:hint="eastAsia" w:ascii="黑体"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rPr>
          <w:rFonts w:hint="eastAsia" w:ascii="宋体" w:hAnsi="宋体"/>
          <w:bCs/>
          <w:color w:val="000000"/>
          <w:sz w:val="24"/>
          <w:szCs w:val="21"/>
          <w:highlight w:val="none"/>
        </w:rPr>
      </w:r>
      <w:r/>
    </w:p>
    <w:p>
      <w:pPr>
        <w:pStyle w:val="82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273" w:name="_Toc513029226"/>
      <w:r/>
      <w:bookmarkStart w:id="274" w:name="_Toc20823298"/>
      <w:r/>
      <w:bookmarkStart w:id="275" w:name="_Toc16938542"/>
      <w:r>
        <w:rPr>
          <w:rFonts w:ascii="宋体" w:hAnsi="宋体"/>
          <w:bCs/>
          <w:color w:val="000000"/>
          <w:sz w:val="24"/>
          <w:szCs w:val="21"/>
          <w:highlight w:val="none"/>
        </w:rPr>
      </w:r>
      <w:r/>
    </w:p>
    <w:p>
      <w:pPr>
        <w:pStyle w:val="821"/>
        <w:ind w:firstLine="560"/>
        <w:keepLines/>
        <w:keepNext/>
        <w:spacing w:line="360" w:lineRule="auto"/>
        <w:rPr>
          <w:rFonts w:hint="eastAsia" w:ascii="宋体" w:hAnsi="宋体" w:eastAsia="黑体" w:cs="Arial"/>
          <w:bCs/>
          <w:color w:val="000000"/>
          <w:sz w:val="24"/>
          <w:szCs w:val="28"/>
          <w:highlight w:val="none"/>
        </w:rPr>
        <w:outlineLvl w:val="1"/>
      </w:pPr>
      <w:r/>
      <w:bookmarkStart w:id="276" w:name="_Toc3098"/>
      <w:r/>
      <w:bookmarkStart w:id="277" w:name="_Toc7538"/>
      <w:r/>
      <w:bookmarkStart w:id="278" w:name="_Toc1387"/>
      <w:r/>
      <w:bookmarkStart w:id="279" w:name="_Toc29627"/>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73"/>
      <w:r/>
      <w:bookmarkEnd w:id="274"/>
      <w:r/>
      <w:bookmarkEnd w:id="275"/>
      <w:r/>
      <w:bookmarkEnd w:id="276"/>
      <w:r/>
      <w:bookmarkEnd w:id="277"/>
      <w:r/>
      <w:bookmarkEnd w:id="278"/>
      <w:r/>
      <w:bookmarkEnd w:id="279"/>
      <w:r>
        <w:rPr>
          <w:rFonts w:hint="eastAsia" w:ascii="宋体" w:hAnsi="宋体" w:eastAsia="黑体" w:cs="Arial"/>
          <w:bCs/>
          <w:color w:val="000000"/>
          <w:sz w:val="24"/>
          <w:szCs w:val="28"/>
          <w:highlight w:val="none"/>
        </w:rPr>
      </w:r>
      <w:r/>
    </w:p>
    <w:p>
      <w:pPr>
        <w:pStyle w:val="821"/>
        <w:ind w:firstLine="482"/>
        <w:spacing w:line="360" w:lineRule="auto"/>
        <w:rPr>
          <w:rFonts w:hint="eastAsia" w:ascii="宋体" w:hAnsi="宋体"/>
          <w:b/>
          <w:bCs/>
          <w:iCs/>
          <w:color w:val="000000"/>
          <w:sz w:val="24"/>
          <w:szCs w:val="21"/>
          <w:highlight w:val="none"/>
        </w:rPr>
      </w:pPr>
      <w:r>
        <w:rPr>
          <w:rFonts w:ascii="宋体" w:hAnsi="宋体"/>
          <w:b/>
          <w:bCs/>
          <w:iCs/>
          <w:color w:val="000000"/>
          <w:sz w:val="24"/>
          <w:szCs w:val="21"/>
          <w:highlight w:val="none"/>
        </w:rPr>
        <w:t xml:space="preserve">19</w:t>
      </w:r>
      <w:r>
        <w:rPr>
          <w:rFonts w:hint="eastAsia" w:ascii="宋体" w:hAnsi="宋体"/>
          <w:b/>
          <w:bCs/>
          <w:iCs/>
          <w:color w:val="000000"/>
          <w:sz w:val="24"/>
          <w:szCs w:val="21"/>
          <w:highlight w:val="none"/>
        </w:rPr>
        <w:t xml:space="preserve">.1 投标人上传电子投标文件的时间不得迟于招标公告中规定的投标截止时间。</w:t>
      </w:r>
      <w:r>
        <w:rPr>
          <w:rFonts w:hint="eastAsia" w:ascii="宋体" w:hAnsi="宋体"/>
          <w:b/>
          <w:bCs/>
          <w:i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80" w:name="_Toc513029227"/>
      <w:r/>
      <w:bookmarkStart w:id="281" w:name="_Toc20823299"/>
      <w:r/>
      <w:bookmarkStart w:id="282" w:name="_Toc16938543"/>
      <w:r/>
      <w:bookmarkStart w:id="283" w:name="_Toc16299"/>
      <w:r/>
      <w:bookmarkStart w:id="284" w:name="_Toc1574"/>
      <w:r/>
      <w:bookmarkStart w:id="285" w:name="_Toc8952"/>
      <w:r/>
      <w:bookmarkStart w:id="286" w:name="_Toc13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80"/>
      <w:r/>
      <w:bookmarkEnd w:id="281"/>
      <w:r/>
      <w:bookmarkEnd w:id="282"/>
      <w:r>
        <w:rPr>
          <w:rFonts w:hint="eastAsia" w:ascii="Arial" w:hAnsi="Arial" w:eastAsia="黑体" w:cs="Arial"/>
          <w:color w:val="000000"/>
          <w:sz w:val="28"/>
          <w:szCs w:val="28"/>
          <w:highlight w:val="none"/>
        </w:rPr>
        <w:t xml:space="preserve">的拒收</w:t>
      </w:r>
      <w:bookmarkEnd w:id="283"/>
      <w:r/>
      <w:bookmarkEnd w:id="284"/>
      <w:r/>
      <w:bookmarkEnd w:id="285"/>
      <w:r/>
      <w:bookmarkEnd w:id="286"/>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采购代理机构拒绝接收在其规定的投标截止时间后上传的任何投标文件。</w:t>
      </w:r>
      <w:r>
        <w:rPr>
          <w:rFonts w:hint="eastAsia" w:ascii="宋体" w:hAnsi="宋体"/>
          <w:bCs/>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287" w:name="_Toc513029228"/>
      <w:r/>
      <w:bookmarkStart w:id="288" w:name="_Toc16243"/>
      <w:r/>
      <w:bookmarkStart w:id="289" w:name="_Toc20823300"/>
      <w:r/>
      <w:bookmarkStart w:id="290" w:name="_Toc9365"/>
      <w:r/>
      <w:bookmarkStart w:id="291" w:name="_Toc7267"/>
      <w:r/>
      <w:bookmarkStart w:id="292" w:name="_Toc16938544"/>
      <w:r/>
      <w:bookmarkStart w:id="293" w:name="_Toc1952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87"/>
      <w:r/>
      <w:bookmarkEnd w:id="288"/>
      <w:r/>
      <w:bookmarkEnd w:id="289"/>
      <w:r/>
      <w:bookmarkEnd w:id="290"/>
      <w:r/>
      <w:bookmarkEnd w:id="291"/>
      <w:r/>
      <w:bookmarkEnd w:id="292"/>
      <w:r/>
      <w:bookmarkEnd w:id="293"/>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color w:val="000000"/>
          <w:sz w:val="24"/>
          <w:szCs w:val="21"/>
          <w:highlight w:val="none"/>
        </w:rPr>
        <w:outlineLvl w:val="2"/>
      </w:pPr>
      <w:r/>
      <w:bookmarkStart w:id="294" w:name="_Toc12286"/>
      <w:r/>
      <w:bookmarkStart w:id="295" w:name="_Toc7188"/>
      <w:r/>
      <w:bookmarkStart w:id="296" w:name="_Toc8719"/>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bookmarkEnd w:id="294"/>
      <w:r/>
      <w:bookmarkEnd w:id="295"/>
      <w:r/>
      <w:bookmarkEnd w:id="296"/>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outlineLvl w:val="3"/>
      </w:pPr>
      <w:r/>
      <w:bookmarkStart w:id="297" w:name="_Toc28208"/>
      <w:r/>
      <w:bookmarkStart w:id="298" w:name="_Toc26597"/>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bookmarkEnd w:id="297"/>
      <w:r/>
      <w:bookmarkEnd w:id="298"/>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4"/>
          <w:highlight w:val="none"/>
        </w:rPr>
        <w:outlineLvl w:val="3"/>
      </w:pPr>
      <w:r/>
      <w:bookmarkStart w:id="299" w:name="_Toc11637"/>
      <w:r/>
      <w:bookmarkStart w:id="300" w:name="_Toc32228"/>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bookmarkEnd w:id="299"/>
      <w:r/>
      <w:bookmarkEnd w:id="300"/>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2"/>
      </w:pPr>
      <w:r/>
      <w:bookmarkStart w:id="301" w:name="_Toc1985"/>
      <w:r/>
      <w:bookmarkStart w:id="302" w:name="_Toc17076"/>
      <w:r/>
      <w:bookmarkStart w:id="303" w:name="_Toc25071"/>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bookmarkEnd w:id="301"/>
      <w:r/>
      <w:bookmarkEnd w:id="302"/>
      <w:r/>
      <w:bookmarkEnd w:id="303"/>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outlineLvl w:val="2"/>
      </w:pPr>
      <w:r/>
      <w:bookmarkStart w:id="304" w:name="_Toc26605"/>
      <w:r/>
      <w:bookmarkStart w:id="305" w:name="_Toc29813"/>
      <w:r/>
      <w:bookmarkStart w:id="306" w:name="_Toc21038"/>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End w:id="304"/>
      <w:r/>
      <w:bookmarkEnd w:id="305"/>
      <w:r/>
      <w:bookmarkEnd w:id="306"/>
      <w:r>
        <w:rPr>
          <w:rFonts w:hint="eastAsia" w:ascii="宋体" w:hAnsi="宋体"/>
          <w:bCs/>
          <w:color w:val="000000"/>
          <w:sz w:val="24"/>
          <w:szCs w:val="21"/>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307" w:name="_Toc11957"/>
      <w:r/>
      <w:bookmarkStart w:id="308" w:name="_Toc8568"/>
      <w:r/>
      <w:bookmarkStart w:id="309" w:name="_Toc16938545"/>
      <w:r/>
      <w:bookmarkStart w:id="310" w:name="_Toc120614218"/>
      <w:r/>
      <w:bookmarkStart w:id="311" w:name="_Toc513029229"/>
      <w:r/>
      <w:bookmarkStart w:id="312" w:name="_Toc20823301"/>
      <w:r/>
      <w:bookmarkStart w:id="313" w:name="_Toc28323"/>
      <w:r/>
      <w:bookmarkStart w:id="314" w:name="_Toc28406"/>
      <w:r>
        <w:rPr>
          <w:rFonts w:hint="eastAsia" w:ascii="Times New Roman" w:hAnsi="Times New Roman"/>
          <w:b/>
          <w:bCs/>
          <w:color w:val="000000"/>
          <w:sz w:val="32"/>
          <w:szCs w:val="32"/>
          <w:highlight w:val="none"/>
        </w:rPr>
        <w:t xml:space="preserve">五、开标与评标</w:t>
      </w:r>
      <w:bookmarkEnd w:id="307"/>
      <w:r/>
      <w:bookmarkEnd w:id="308"/>
      <w:r/>
      <w:bookmarkEnd w:id="309"/>
      <w:r/>
      <w:bookmarkEnd w:id="310"/>
      <w:r/>
      <w:bookmarkEnd w:id="311"/>
      <w:r/>
      <w:bookmarkEnd w:id="312"/>
      <w:r/>
      <w:bookmarkEnd w:id="313"/>
      <w:r/>
      <w:bookmarkEnd w:id="314"/>
      <w:r>
        <w:rPr>
          <w:rFonts w:hint="eastAsia" w:ascii="Times New Roman" w:hAnsi="Times New Roman"/>
          <w:b/>
          <w:bCs/>
          <w:color w:val="000000"/>
          <w:sz w:val="32"/>
          <w:szCs w:val="32"/>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315" w:name="_Toc20823302"/>
      <w:r/>
      <w:bookmarkStart w:id="316" w:name="_Toc16938546"/>
      <w:r/>
      <w:bookmarkStart w:id="317" w:name="_Toc16555"/>
      <w:r/>
      <w:bookmarkStart w:id="318" w:name="_Toc513029230"/>
      <w:r/>
      <w:bookmarkStart w:id="319" w:name="_Toc130"/>
      <w:r/>
      <w:bookmarkStart w:id="320" w:name="_Toc31962"/>
      <w:r/>
      <w:bookmarkStart w:id="321" w:name="_Toc25967"/>
      <w:r>
        <w:rPr>
          <w:rFonts w:hint="eastAsia" w:ascii="Arial" w:hAnsi="Arial" w:eastAsia="黑体" w:cs="Arial"/>
          <w:color w:val="000000"/>
          <w:sz w:val="28"/>
          <w:szCs w:val="28"/>
          <w:highlight w:val="none"/>
        </w:rPr>
        <w:t xml:space="preserve">22、开标</w:t>
      </w:r>
      <w:bookmarkEnd w:id="315"/>
      <w:r/>
      <w:bookmarkEnd w:id="316"/>
      <w:r/>
      <w:bookmarkEnd w:id="317"/>
      <w:r/>
      <w:bookmarkEnd w:id="318"/>
      <w:r/>
      <w:bookmarkEnd w:id="319"/>
      <w:r/>
      <w:bookmarkEnd w:id="320"/>
      <w:r/>
      <w:bookmarkEnd w:id="321"/>
      <w:r>
        <w:rPr>
          <w:rFonts w:hint="eastAsia" w:ascii="Arial" w:hAnsi="Arial" w:eastAsia="黑体" w:cs="Arial"/>
          <w:color w:val="000000"/>
          <w:sz w:val="28"/>
          <w:szCs w:val="28"/>
          <w:highlight w:val="none"/>
        </w:rPr>
      </w:r>
      <w:r/>
    </w:p>
    <w:p>
      <w:pPr>
        <w:pStyle w:val="821"/>
        <w:ind w:firstLine="480"/>
        <w:spacing w:line="360" w:lineRule="auto"/>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开标仪式由采购代理机构组织。苏采云系统将自动对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322" w:name="_Toc11159"/>
      <w:r/>
      <w:bookmarkStart w:id="323" w:name="_Toc20518"/>
      <w:r/>
      <w:bookmarkStart w:id="324" w:name="_Toc30290"/>
      <w:r/>
      <w:bookmarkStart w:id="325" w:name="_Toc8195"/>
      <w:r/>
      <w:bookmarkStart w:id="326" w:name="_Toc16938547"/>
      <w:r/>
      <w:bookmarkStart w:id="327" w:name="_Toc20823303"/>
      <w:r/>
      <w:bookmarkStart w:id="328"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bookmarkEnd w:id="322"/>
      <w:r/>
      <w:bookmarkEnd w:id="323"/>
      <w:r/>
      <w:bookmarkEnd w:id="324"/>
      <w:r/>
      <w:bookmarkEnd w:id="325"/>
      <w:r>
        <w:rPr>
          <w:rFonts w:hint="eastAsia" w:ascii="Arial" w:hAnsi="Arial" w:eastAsia="黑体" w:cs="Arial"/>
          <w:color w:val="000000"/>
          <w:sz w:val="28"/>
          <w:szCs w:val="28"/>
          <w:highlight w:val="none"/>
        </w:rPr>
      </w:r>
      <w:r/>
    </w:p>
    <w:p>
      <w:pPr>
        <w:pStyle w:val="821"/>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开标后，采购代理机构将立即组织评标委员会（以下简称评委会）进行评标。</w:t>
      </w:r>
      <w:r>
        <w:rPr>
          <w:rFonts w:hint="eastAsia" w:ascii="宋体" w:hAnsi="宋体"/>
          <w:b/>
          <w:color w:val="000000"/>
          <w:sz w:val="24"/>
          <w:szCs w:val="24"/>
          <w:highlight w:val="none"/>
        </w:rPr>
      </w:r>
      <w:r/>
    </w:p>
    <w:p>
      <w:pPr>
        <w:pStyle w:val="821"/>
        <w:ind w:firstLine="482"/>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821"/>
        <w:ind w:firstLine="482"/>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.3评委会独立工作，负责评审所有投标文件并确定中标候选人。</w:t>
      </w:r>
      <w:r>
        <w:rPr>
          <w:rFonts w:hint="eastAsia" w:ascii="宋体" w:hAnsi="宋体"/>
          <w:color w:val="000000"/>
          <w:sz w:val="24"/>
          <w:szCs w:val="24"/>
          <w:highlight w:val="none"/>
        </w:rPr>
      </w:r>
      <w:r/>
    </w:p>
    <w:p>
      <w:pPr>
        <w:pStyle w:val="821"/>
        <w:ind w:firstLine="560"/>
        <w:keepLines/>
        <w:keepNext/>
        <w:spacing w:line="360" w:lineRule="auto"/>
        <w:rPr>
          <w:rFonts w:hint="eastAsia" w:ascii="黑体" w:hAnsi="Arial" w:eastAsia="黑体" w:cs="Arial"/>
          <w:color w:val="000000"/>
          <w:sz w:val="28"/>
          <w:szCs w:val="28"/>
          <w:highlight w:val="none"/>
        </w:rPr>
        <w:outlineLvl w:val="1"/>
      </w:pPr>
      <w:r/>
      <w:bookmarkStart w:id="329" w:name="_Toc26223"/>
      <w:r/>
      <w:bookmarkStart w:id="330" w:name="_Toc25904"/>
      <w:r/>
      <w:bookmarkStart w:id="331" w:name="_Toc8789"/>
      <w:r/>
      <w:bookmarkStart w:id="332" w:name="_Toc30587"/>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329"/>
      <w:r/>
      <w:bookmarkEnd w:id="330"/>
      <w:r/>
      <w:bookmarkEnd w:id="331"/>
      <w:r/>
      <w:bookmarkEnd w:id="332"/>
      <w:r>
        <w:rPr>
          <w:rFonts w:hint="eastAsia" w:ascii="黑体"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bookmarkEnd w:id="326"/>
      <w:r/>
      <w:bookmarkEnd w:id="327"/>
      <w:r/>
      <w:bookmarkEnd w:id="328"/>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color w:val="000000"/>
          <w:sz w:val="24"/>
          <w:szCs w:val="21"/>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采购代理机构和评标委员会不向未中标的投标人解释未中标原因，也不公布评标过程中的相关细节。</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333" w:name="_Toc26197"/>
      <w:r/>
      <w:bookmarkStart w:id="334" w:name="_Toc20823304"/>
      <w:r/>
      <w:bookmarkStart w:id="335" w:name="_Toc4673"/>
      <w:r/>
      <w:bookmarkStart w:id="336" w:name="_Toc16938548"/>
      <w:r/>
      <w:bookmarkStart w:id="337" w:name="_Toc513029232"/>
      <w:r/>
      <w:bookmarkStart w:id="338" w:name="_Toc12553"/>
      <w:r/>
      <w:bookmarkStart w:id="339" w:name="_Toc1468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333"/>
      <w:r/>
      <w:bookmarkEnd w:id="334"/>
      <w:r/>
      <w:bookmarkEnd w:id="335"/>
      <w:r/>
      <w:bookmarkEnd w:id="336"/>
      <w:r/>
      <w:bookmarkEnd w:id="337"/>
      <w:r/>
      <w:bookmarkEnd w:id="338"/>
      <w:r/>
      <w:bookmarkEnd w:id="339"/>
      <w:r>
        <w:rPr>
          <w:rFonts w:hint="eastAsia" w:ascii="Arial" w:hAnsi="Arial" w:eastAsia="黑体" w:cs="Arial"/>
          <w:color w:val="000000"/>
          <w:sz w:val="28"/>
          <w:szCs w:val="28"/>
          <w:highlight w:val="none"/>
        </w:rPr>
      </w:r>
      <w:r/>
    </w:p>
    <w:p>
      <w:pPr>
        <w:pStyle w:val="821"/>
        <w:ind w:firstLine="480"/>
        <w:spacing w:line="360" w:lineRule="auto"/>
        <w:rPr>
          <w:rFonts w:ascii="宋体" w:hAnsi="宋体"/>
          <w:color w:val="000000"/>
          <w:sz w:val="24"/>
          <w:szCs w:val="24"/>
          <w:highlight w:val="none"/>
        </w:rPr>
      </w:pPr>
      <w:r/>
      <w:bookmarkStart w:id="340" w:name="_Toc20823305"/>
      <w:r/>
      <w:bookmarkStart w:id="341" w:name="_Toc513029233"/>
      <w:r/>
      <w:bookmarkStart w:id="342" w:name="_Toc16938549"/>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接到评委会澄清、说明和补正要求的投标人如未按规定作出澄清、说明和补正，其风险由投标人自行承担。</w:t>
      </w:r>
      <w:r>
        <w:rPr>
          <w:rFonts w:hint="eastAsia" w:ascii="宋体" w:hAnsi="宋体"/>
          <w:color w:val="000000"/>
          <w:sz w:val="24"/>
          <w:szCs w:val="24"/>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343" w:name="_Toc10236"/>
      <w:r/>
      <w:bookmarkStart w:id="344" w:name="_Toc30903"/>
      <w:r/>
      <w:bookmarkStart w:id="345" w:name="_Toc29684"/>
      <w:r/>
      <w:bookmarkStart w:id="346" w:name="_Toc2842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340"/>
      <w:r/>
      <w:bookmarkEnd w:id="341"/>
      <w:r/>
      <w:bookmarkEnd w:id="342"/>
      <w:r/>
      <w:bookmarkEnd w:id="343"/>
      <w:r/>
      <w:bookmarkEnd w:id="344"/>
      <w:r/>
      <w:bookmarkEnd w:id="345"/>
      <w:r/>
      <w:bookmarkEnd w:id="346"/>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26.1.3政府采购异常低价审查：</w:t>
      </w:r>
      <w:r>
        <w:rPr>
          <w:rFonts w:hint="eastAsia" w:ascii="宋体" w:hAnsi="宋体"/>
          <w:b/>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（一）政府采购评审中出现下列情形之一的，评审委员会应当启动异常低价投标审查程序：</w:t>
      </w:r>
      <w:r>
        <w:rPr>
          <w:rFonts w:hint="eastAsia" w:ascii="宋体" w:hAnsi="宋体"/>
          <w:b/>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1.投标报价低于全部通过符合性审查供应商投标报价平均值65%的，即投标报价&lt;全部通过符合性审查供应商投标报价平均值×65%； </w:t>
      </w:r>
      <w:r>
        <w:rPr>
          <w:rFonts w:hint="eastAsia" w:ascii="宋体" w:hAnsi="宋体"/>
          <w:b/>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2.投标报价低于通过符合性审查的次低报价供应商投标报价65%的，即投标报价&lt;通过符合性审查的次低报价供应商投标报价×65%； </w:t>
      </w:r>
      <w:r>
        <w:rPr>
          <w:rFonts w:hint="eastAsia" w:ascii="宋体" w:hAnsi="宋体"/>
          <w:b/>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3.投标报价低于采购项目最高限价65%的，即投标报价&lt;采购项目最高限价×65%； </w:t>
      </w:r>
      <w:r>
        <w:rPr>
          <w:rFonts w:hint="eastAsia" w:ascii="宋体" w:hAnsi="宋体"/>
          <w:b/>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4.评审委员会基于专业判断，认为供应商报价过低，有可能影响产品质量或者不能诚信履约的其他情形。 </w:t>
      </w:r>
      <w:r>
        <w:rPr>
          <w:rFonts w:hint="eastAsia" w:ascii="宋体" w:hAnsi="宋体"/>
          <w:b/>
          <w:color w:val="000000"/>
          <w:sz w:val="24"/>
          <w:szCs w:val="21"/>
          <w:highlight w:val="none"/>
        </w:rPr>
      </w:r>
      <w:r/>
    </w:p>
    <w:p>
      <w:pPr>
        <w:pStyle w:val="821"/>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color w:val="000000"/>
          <w:sz w:val="24"/>
          <w:szCs w:val="21"/>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color w:val="000000"/>
          <w:sz w:val="24"/>
          <w:szCs w:val="21"/>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.1.4未通过资格审查或符合性审查的投标人，采购代理机构将在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1"/>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821"/>
        <w:ind w:firstLine="482"/>
        <w:spacing w:line="360" w:lineRule="auto"/>
        <w:rPr>
          <w:rFonts w:hint="eastAsia" w:ascii="宋体" w:hAnsi="宋体"/>
          <w:bCs/>
          <w:color w:val="000000"/>
          <w:sz w:val="24"/>
          <w:szCs w:val="21"/>
          <w:highlight w:val="none"/>
        </w:rPr>
      </w:pPr>
      <w:r>
        <w:rPr>
          <w:rFonts w:hint="eastAsia" w:ascii="宋体" w:hAnsi="宋体"/>
          <w:b/>
          <w:bCs/>
          <w:color w:val="000000"/>
          <w:sz w:val="24"/>
          <w:szCs w:val="24"/>
          <w:highlight w:val="none"/>
        </w:rPr>
        <w:t xml:space="preserve">所谓重大偏离或保留是指</w:t>
      </w:r>
      <w:r>
        <w:rPr>
          <w:rFonts w:hint="eastAsia" w:ascii="宋体" w:hAnsi="宋体"/>
          <w:color w:val="000000"/>
          <w:sz w:val="24"/>
          <w:szCs w:val="24"/>
          <w:highlight w:val="none"/>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82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82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82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821"/>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821"/>
        <w:ind w:firstLine="480"/>
        <w:spacing w:line="360" w:lineRule="auto"/>
        <w:rPr>
          <w:rFonts w:ascii="宋体" w:hAnsi="宋体"/>
          <w:color w:val="000000"/>
          <w:sz w:val="24"/>
          <w:szCs w:val="21"/>
          <w:highlight w:val="none"/>
        </w:rPr>
      </w:pPr>
      <w:r/>
      <w:bookmarkStart w:id="347" w:name="_Toc20823306"/>
      <w:r/>
      <w:bookmarkStart w:id="348" w:name="_Toc16938550"/>
      <w:r/>
      <w:bookmarkStart w:id="349"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821"/>
        <w:ind w:firstLine="480"/>
        <w:spacing w:line="360" w:lineRule="auto"/>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82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并安排专人与采购代理机构及评标委员会联系。</w:t>
      </w:r>
      <w:r>
        <w:rPr>
          <w:rFonts w:hint="eastAsia" w:ascii="宋体" w:hAnsi="宋体"/>
          <w:color w:val="000000"/>
          <w:sz w:val="24"/>
          <w:szCs w:val="21"/>
          <w:highlight w:val="none"/>
        </w:rPr>
      </w:r>
      <w:r/>
    </w:p>
    <w:p>
      <w:pPr>
        <w:pStyle w:val="821"/>
        <w:ind w:firstLine="560"/>
        <w:keepLines/>
        <w:keepNext/>
        <w:spacing w:line="360" w:lineRule="auto"/>
        <w:rPr>
          <w:rFonts w:hint="eastAsia" w:ascii="Arial" w:hAnsi="Arial" w:eastAsia="黑体" w:cs="Arial"/>
          <w:color w:val="000000"/>
          <w:sz w:val="28"/>
          <w:szCs w:val="28"/>
          <w:highlight w:val="none"/>
        </w:rPr>
        <w:outlineLvl w:val="1"/>
      </w:pPr>
      <w:r/>
      <w:bookmarkStart w:id="350" w:name="_Toc9821"/>
      <w:r/>
      <w:bookmarkStart w:id="351" w:name="_Toc17132"/>
      <w:r/>
      <w:bookmarkStart w:id="352" w:name="_Toc30788"/>
      <w:r/>
      <w:bookmarkStart w:id="353" w:name="_Toc2951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347"/>
      <w:r/>
      <w:bookmarkEnd w:id="348"/>
      <w:r/>
      <w:bookmarkEnd w:id="349"/>
      <w:r>
        <w:rPr>
          <w:rFonts w:hint="eastAsia" w:ascii="Arial" w:hAnsi="Arial" w:eastAsia="黑体" w:cs="Arial"/>
          <w:color w:val="000000"/>
          <w:sz w:val="28"/>
          <w:szCs w:val="28"/>
          <w:highlight w:val="none"/>
        </w:rPr>
        <w:t xml:space="preserve">无效投标条款和废标条款</w:t>
      </w:r>
      <w:bookmarkEnd w:id="350"/>
      <w:r/>
      <w:bookmarkEnd w:id="351"/>
      <w:r/>
      <w:bookmarkEnd w:id="352"/>
      <w:r/>
      <w:bookmarkEnd w:id="353"/>
      <w:r>
        <w:rPr>
          <w:rFonts w:hint="eastAsia" w:ascii="Arial" w:hAnsi="Arial" w:eastAsia="黑体" w:cs="Arial"/>
          <w:color w:val="000000"/>
          <w:sz w:val="28"/>
          <w:szCs w:val="28"/>
          <w:highlight w:val="none"/>
        </w:rPr>
      </w:r>
      <w:r/>
    </w:p>
    <w:p>
      <w:pPr>
        <w:pStyle w:val="821"/>
        <w:ind w:firstLine="480"/>
        <w:spacing w:line="360" w:lineRule="auto"/>
        <w:rPr>
          <w:rFonts w:hint="eastAsia" w:ascii="宋体" w:hAnsi="宋体"/>
          <w:bCs/>
          <w:color w:val="000000"/>
          <w:sz w:val="24"/>
          <w:szCs w:val="21"/>
          <w:highlight w:val="none"/>
        </w:rPr>
        <w:outlineLvl w:val="2"/>
      </w:pPr>
      <w:r/>
      <w:bookmarkStart w:id="354" w:name="_Toc30276"/>
      <w:r/>
      <w:bookmarkStart w:id="355" w:name="_Toc9344"/>
      <w:r/>
      <w:bookmarkStart w:id="356" w:name="_Toc17838"/>
      <w:r/>
      <w:bookmarkStart w:id="357" w:name="_Toc16938551"/>
      <w:r/>
      <w:bookmarkStart w:id="358" w:name="_Toc513029235"/>
      <w:r/>
      <w:bookmarkStart w:id="359"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bookmarkEnd w:id="354"/>
      <w:r/>
      <w:bookmarkEnd w:id="355"/>
      <w:r/>
      <w:bookmarkEnd w:id="356"/>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投标人未按照招标文件要求上传电子投标文件的。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821"/>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color w:val="000000"/>
          <w:sz w:val="24"/>
          <w:szCs w:val="21"/>
          <w:highlight w:val="none"/>
          <w:u w:val="single"/>
        </w:rPr>
        <w:t xml:space="preserve">本招标文件中标注“★”的条款为实质性要求和条件）。</w:t>
      </w:r>
      <w:r>
        <w:rPr>
          <w:rFonts w:hint="eastAsia" w:ascii="宋体" w:hAnsi="宋体"/>
          <w:bCs/>
          <w:i/>
          <w:color w:val="000000"/>
          <w:sz w:val="24"/>
          <w:szCs w:val="21"/>
          <w:highlight w:val="none"/>
          <w:u w:val="singl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其他法律、法规及本招标文件规定的属于无效投标的情形。</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outlineLvl w:val="2"/>
      </w:pPr>
      <w:r/>
      <w:bookmarkStart w:id="360" w:name="_Toc24516"/>
      <w:r/>
      <w:bookmarkStart w:id="361" w:name="_Toc13304"/>
      <w:r/>
      <w:bookmarkStart w:id="362" w:name="_Toc1048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bookmarkEnd w:id="360"/>
      <w:r/>
      <w:bookmarkEnd w:id="361"/>
      <w:r/>
      <w:bookmarkEnd w:id="362"/>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82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苏采云系统故障</w:t>
      </w:r>
      <w:r>
        <w:rPr>
          <w:rFonts w:ascii="宋体" w:hAnsi="宋体"/>
          <w:bCs/>
          <w:color w:val="000000"/>
          <w:sz w:val="24"/>
          <w:szCs w:val="21"/>
          <w:highlight w:val="none"/>
        </w:rPr>
        <w:t xml:space="preserve">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outlineLvl w:val="2"/>
      </w:pPr>
      <w:r/>
      <w:bookmarkStart w:id="363" w:name="_Toc19806"/>
      <w:r/>
      <w:bookmarkStart w:id="364" w:name="_Toc9926"/>
      <w:r/>
      <w:bookmarkStart w:id="365" w:name="_Toc1894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bookmarkEnd w:id="363"/>
      <w:r/>
      <w:bookmarkEnd w:id="364"/>
      <w:r/>
      <w:bookmarkEnd w:id="365"/>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366" w:name="_Toc27006"/>
      <w:r/>
      <w:bookmarkStart w:id="367" w:name="_Toc30678"/>
      <w:r/>
      <w:bookmarkStart w:id="368" w:name="_Toc120614219"/>
      <w:r/>
      <w:bookmarkStart w:id="369" w:name="_Toc659"/>
      <w:r/>
      <w:bookmarkStart w:id="370" w:name="_Toc30314"/>
      <w:r>
        <w:rPr>
          <w:rFonts w:hint="eastAsia" w:ascii="Times New Roman" w:hAnsi="Times New Roman"/>
          <w:b/>
          <w:bCs/>
          <w:color w:val="000000"/>
          <w:sz w:val="32"/>
          <w:szCs w:val="32"/>
          <w:highlight w:val="none"/>
        </w:rPr>
        <w:t xml:space="preserve">六、</w:t>
      </w:r>
      <w:bookmarkEnd w:id="357"/>
      <w:r/>
      <w:bookmarkEnd w:id="358"/>
      <w:r/>
      <w:bookmarkEnd w:id="359"/>
      <w:r>
        <w:rPr>
          <w:rFonts w:hint="eastAsia" w:ascii="Times New Roman" w:hAnsi="Times New Roman"/>
          <w:b/>
          <w:bCs/>
          <w:color w:val="000000"/>
          <w:sz w:val="32"/>
          <w:szCs w:val="32"/>
          <w:highlight w:val="none"/>
        </w:rPr>
        <w:t xml:space="preserve">定标</w:t>
      </w:r>
      <w:bookmarkEnd w:id="366"/>
      <w:r/>
      <w:bookmarkEnd w:id="367"/>
      <w:r/>
      <w:bookmarkEnd w:id="368"/>
      <w:r/>
      <w:bookmarkEnd w:id="369"/>
      <w:r/>
      <w:bookmarkEnd w:id="370"/>
      <w:r>
        <w:rPr>
          <w:rFonts w:hint="eastAsia" w:ascii="Times New Roman" w:hAnsi="Times New Roman"/>
          <w:b/>
          <w:bCs/>
          <w:color w:val="000000"/>
          <w:sz w:val="32"/>
          <w:szCs w:val="32"/>
          <w:highlight w:val="none"/>
        </w:rPr>
      </w:r>
      <w:r/>
    </w:p>
    <w:p>
      <w:pPr>
        <w:pStyle w:val="821"/>
        <w:ind w:firstLine="600"/>
        <w:keepLines/>
        <w:keepNext/>
        <w:spacing w:line="360" w:lineRule="auto"/>
        <w:rPr>
          <w:rFonts w:hint="eastAsia" w:ascii="黑体" w:hAnsi="宋体" w:eastAsia="黑体"/>
          <w:bCs/>
          <w:color w:val="000000"/>
          <w:sz w:val="30"/>
          <w:szCs w:val="30"/>
          <w:highlight w:val="none"/>
        </w:rPr>
        <w:outlineLvl w:val="1"/>
      </w:pPr>
      <w:r/>
      <w:bookmarkStart w:id="371" w:name="_Toc513029238"/>
      <w:r/>
      <w:bookmarkStart w:id="372" w:name="_Toc16938554"/>
      <w:r/>
      <w:bookmarkStart w:id="373" w:name="_Toc20823310"/>
      <w:r/>
      <w:bookmarkStart w:id="374" w:name="_Toc19441"/>
      <w:r/>
      <w:bookmarkStart w:id="375" w:name="_Toc5155"/>
      <w:r/>
      <w:bookmarkStart w:id="376" w:name="_Toc9988"/>
      <w:r/>
      <w:bookmarkStart w:id="377" w:name="_Toc28031"/>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371"/>
      <w:r>
        <w:rPr>
          <w:rFonts w:hint="eastAsia" w:ascii="黑体" w:hAnsi="宋体" w:eastAsia="黑体"/>
          <w:bCs/>
          <w:color w:val="000000"/>
          <w:sz w:val="30"/>
          <w:szCs w:val="30"/>
          <w:highlight w:val="none"/>
        </w:rPr>
        <w:t xml:space="preserve">确定</w:t>
      </w:r>
      <w:bookmarkEnd w:id="372"/>
      <w:r/>
      <w:bookmarkEnd w:id="373"/>
      <w:r>
        <w:rPr>
          <w:rFonts w:hint="eastAsia" w:ascii="黑体" w:hAnsi="宋体" w:eastAsia="黑体"/>
          <w:bCs/>
          <w:color w:val="000000"/>
          <w:sz w:val="30"/>
          <w:szCs w:val="30"/>
          <w:highlight w:val="none"/>
        </w:rPr>
        <w:t xml:space="preserve">中标单位</w:t>
      </w:r>
      <w:bookmarkEnd w:id="374"/>
      <w:r/>
      <w:bookmarkEnd w:id="375"/>
      <w:r/>
      <w:bookmarkEnd w:id="376"/>
      <w:r/>
      <w:bookmarkEnd w:id="377"/>
      <w:r>
        <w:rPr>
          <w:rFonts w:hint="eastAsia" w:ascii="黑体" w:hAnsi="宋体" w:eastAsia="黑体"/>
          <w:bCs/>
          <w:color w:val="000000"/>
          <w:sz w:val="30"/>
          <w:szCs w:val="30"/>
          <w:highlight w:val="none"/>
        </w:rPr>
      </w:r>
      <w:r/>
    </w:p>
    <w:p>
      <w:pPr>
        <w:pStyle w:val="821"/>
        <w:ind w:firstLine="480"/>
        <w:spacing w:line="360" w:lineRule="auto"/>
        <w:rPr>
          <w:rFonts w:hint="eastAsia" w:ascii="宋体" w:hAnsi="宋体"/>
          <w:bCs/>
          <w:color w:val="000000"/>
          <w:sz w:val="24"/>
          <w:szCs w:val="21"/>
          <w:highlight w:val="none"/>
        </w:rPr>
      </w:pPr>
      <w:r/>
      <w:bookmarkStart w:id="378" w:name="_Toc562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w:t>
      </w:r>
      <w:bookmarkEnd w:id="378"/>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21"/>
        <w:ind w:firstLine="480"/>
        <w:spacing w:line="360" w:lineRule="auto"/>
        <w:rPr>
          <w:rFonts w:hint="eastAsia" w:ascii="宋体" w:hAnsi="宋体"/>
          <w:bCs/>
          <w:color w:val="000000"/>
          <w:sz w:val="24"/>
          <w:szCs w:val="21"/>
          <w:highlight w:val="none"/>
        </w:rPr>
      </w:pPr>
      <w:r/>
      <w:bookmarkStart w:id="379" w:name="_Toc8063"/>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bookmarkEnd w:id="379"/>
      <w:r>
        <w:rPr>
          <w:rFonts w:hint="eastAsia" w:ascii="宋体" w:hAnsi="宋体"/>
          <w:bCs/>
          <w:color w:val="000000"/>
          <w:sz w:val="24"/>
          <w:szCs w:val="21"/>
          <w:highlight w:val="none"/>
        </w:rPr>
      </w:r>
      <w:r/>
    </w:p>
    <w:p>
      <w:pPr>
        <w:pStyle w:val="821"/>
        <w:ind w:firstLine="480"/>
        <w:spacing w:line="360" w:lineRule="auto"/>
        <w:rPr>
          <w:rFonts w:hint="eastAsia" w:ascii="宋体" w:hAnsi="宋体"/>
          <w:color w:val="000000"/>
          <w:sz w:val="24"/>
          <w:szCs w:val="24"/>
          <w:highlight w:val="none"/>
        </w:rPr>
      </w:pPr>
      <w:r/>
      <w:bookmarkStart w:id="380" w:name="_Toc23527"/>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rPr>
        <w:t xml:space="preserve">采购代理机构将在“江苏政府采购网”发布中标公告，公告期限为1个工作日。</w:t>
      </w:r>
      <w:bookmarkEnd w:id="380"/>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bookmarkStart w:id="381" w:name="_Toc18243"/>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bookmarkEnd w:id="381"/>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.4.2向采购人、采购代理机构行贿或者提供其他不正当利益的。</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bookmarkStart w:id="382" w:name="_Toc24868"/>
      <w:r/>
      <w:bookmarkStart w:id="383"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bookmarkEnd w:id="382"/>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28.5.5不同投标人的投标文件相互混装；</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28.5.6不同投标人的投标保证金从同一单位或者个人的账户转出。</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21"/>
        <w:ind w:firstLine="600"/>
        <w:keepLines/>
        <w:keepNext/>
        <w:spacing w:line="360" w:lineRule="auto"/>
        <w:rPr>
          <w:rFonts w:hint="eastAsia" w:ascii="黑体" w:hAnsi="宋体" w:eastAsia="黑体"/>
          <w:bCs/>
          <w:color w:val="000000"/>
          <w:sz w:val="30"/>
          <w:szCs w:val="30"/>
          <w:highlight w:val="none"/>
        </w:rPr>
        <w:outlineLvl w:val="1"/>
      </w:pPr>
      <w:r/>
      <w:bookmarkStart w:id="384" w:name="_Toc1683"/>
      <w:r/>
      <w:bookmarkStart w:id="385" w:name="_Toc17050"/>
      <w:r/>
      <w:bookmarkStart w:id="386" w:name="_Toc8384"/>
      <w:r/>
      <w:bookmarkStart w:id="387" w:name="_Toc9909"/>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383"/>
      <w:r/>
      <w:bookmarkEnd w:id="384"/>
      <w:r/>
      <w:bookmarkEnd w:id="385"/>
      <w:r/>
      <w:bookmarkEnd w:id="386"/>
      <w:r/>
      <w:bookmarkEnd w:id="387"/>
      <w:r>
        <w:rPr>
          <w:rFonts w:hint="eastAsia" w:ascii="黑体" w:hAnsi="宋体" w:eastAsia="黑体"/>
          <w:bCs/>
          <w:color w:val="000000"/>
          <w:sz w:val="30"/>
          <w:szCs w:val="30"/>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olor w:val="000000"/>
          <w:sz w:val="24"/>
          <w:szCs w:val="24"/>
          <w:highlight w:val="none"/>
        </w:rPr>
      </w:r>
      <w:r/>
    </w:p>
    <w:p>
      <w:pPr>
        <w:pStyle w:val="821"/>
        <w:ind w:firstLine="480"/>
        <w:spacing w:line="360" w:lineRule="auto"/>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821"/>
        <w:ind w:firstLine="480"/>
        <w:spacing w:line="360" w:lineRule="auto"/>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21"/>
        <w:ind w:firstLine="480"/>
        <w:spacing w:line="360" w:lineRule="auto"/>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采购代理机构质疑接收部门为招标代理部（快递运单上的收件人填写“招标代理部209室”即可），联系地址：连云港市海州区郁洲北路9号瀛洲大厦209室，联系电话：0518-81061799。</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21"/>
        <w:ind w:firstLine="600"/>
        <w:keepLines/>
        <w:keepNext/>
        <w:spacing w:line="360" w:lineRule="auto"/>
        <w:rPr>
          <w:rFonts w:hint="eastAsia" w:ascii="黑体" w:hAnsi="宋体" w:eastAsia="黑体"/>
          <w:bCs/>
          <w:color w:val="000000"/>
          <w:sz w:val="30"/>
          <w:szCs w:val="30"/>
          <w:highlight w:val="none"/>
        </w:rPr>
        <w:outlineLvl w:val="1"/>
      </w:pPr>
      <w:r/>
      <w:bookmarkStart w:id="388" w:name="_Toc19025"/>
      <w:r/>
      <w:bookmarkStart w:id="389" w:name="_Toc4826"/>
      <w:r/>
      <w:bookmarkStart w:id="390" w:name="_Toc27058"/>
      <w:r/>
      <w:bookmarkStart w:id="391" w:name="_Toc26690"/>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bookmarkEnd w:id="388"/>
      <w:r/>
      <w:bookmarkEnd w:id="389"/>
      <w:r/>
      <w:bookmarkEnd w:id="390"/>
      <w:r/>
      <w:bookmarkEnd w:id="391"/>
      <w:r>
        <w:rPr>
          <w:rFonts w:hint="eastAsia" w:ascii="黑体" w:hAnsi="宋体" w:eastAsia="黑体"/>
          <w:bCs/>
          <w:color w:val="000000"/>
          <w:sz w:val="30"/>
          <w:szCs w:val="30"/>
          <w:highlight w:val="none"/>
        </w:rPr>
      </w:r>
      <w:r/>
    </w:p>
    <w:p>
      <w:pPr>
        <w:pStyle w:val="821"/>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821"/>
        <w:ind w:firstLine="643"/>
        <w:keepLines/>
        <w:keepNext/>
        <w:spacing w:line="360" w:lineRule="auto"/>
        <w:rPr>
          <w:rFonts w:hint="eastAsia" w:ascii="Times New Roman" w:hAnsi="Times New Roman"/>
          <w:b/>
          <w:bCs/>
          <w:color w:val="000000"/>
          <w:sz w:val="32"/>
          <w:szCs w:val="32"/>
          <w:highlight w:val="none"/>
        </w:rPr>
        <w:outlineLvl w:val="0"/>
      </w:pPr>
      <w:r/>
      <w:bookmarkStart w:id="392" w:name="_Toc2338"/>
      <w:r/>
      <w:bookmarkStart w:id="393" w:name="_Toc31722"/>
      <w:r/>
      <w:bookmarkStart w:id="394" w:name="_Toc120614220"/>
      <w:r/>
      <w:bookmarkStart w:id="395" w:name="_Toc2990"/>
      <w:r/>
      <w:bookmarkStart w:id="396" w:name="_Toc12795"/>
      <w:r/>
      <w:bookmarkStart w:id="397" w:name="_Toc20823308"/>
      <w:r/>
      <w:bookmarkStart w:id="398" w:name="_Toc16938552"/>
      <w:r/>
      <w:bookmarkStart w:id="399" w:name="_Toc513029236"/>
      <w:r>
        <w:rPr>
          <w:rFonts w:hint="eastAsia" w:ascii="Times New Roman" w:hAnsi="Times New Roman"/>
          <w:b/>
          <w:bCs/>
          <w:color w:val="000000"/>
          <w:sz w:val="32"/>
          <w:szCs w:val="32"/>
          <w:highlight w:val="none"/>
        </w:rPr>
        <w:t xml:space="preserve">七、授予合同</w:t>
      </w:r>
      <w:bookmarkEnd w:id="392"/>
      <w:r/>
      <w:bookmarkEnd w:id="393"/>
      <w:r/>
      <w:bookmarkEnd w:id="394"/>
      <w:r/>
      <w:bookmarkEnd w:id="395"/>
      <w:r/>
      <w:bookmarkEnd w:id="396"/>
      <w:r>
        <w:rPr>
          <w:rFonts w:hint="eastAsia" w:ascii="Times New Roman" w:hAnsi="Times New Roman"/>
          <w:b/>
          <w:bCs/>
          <w:color w:val="000000"/>
          <w:sz w:val="32"/>
          <w:szCs w:val="32"/>
          <w:highlight w:val="none"/>
        </w:rPr>
      </w:r>
      <w:r/>
    </w:p>
    <w:p>
      <w:pPr>
        <w:pStyle w:val="821"/>
        <w:ind w:firstLine="600"/>
        <w:keepLines/>
        <w:keepNext/>
        <w:spacing w:line="360" w:lineRule="auto"/>
        <w:rPr>
          <w:rFonts w:hint="eastAsia" w:ascii="黑体" w:hAnsi="宋体" w:eastAsia="黑体"/>
          <w:bCs/>
          <w:color w:val="000000"/>
          <w:sz w:val="30"/>
          <w:szCs w:val="30"/>
          <w:highlight w:val="none"/>
        </w:rPr>
        <w:outlineLvl w:val="1"/>
      </w:pPr>
      <w:r/>
      <w:bookmarkEnd w:id="397"/>
      <w:r/>
      <w:bookmarkEnd w:id="398"/>
      <w:r/>
      <w:bookmarkEnd w:id="399"/>
      <w:r/>
      <w:bookmarkStart w:id="400" w:name="_Toc10267"/>
      <w:r/>
      <w:bookmarkStart w:id="401" w:name="_Toc6612"/>
      <w:r/>
      <w:bookmarkStart w:id="402" w:name="_Toc30959"/>
      <w:r/>
      <w:bookmarkStart w:id="403" w:name="_Toc19630"/>
      <w:r/>
      <w:bookmarkStart w:id="404" w:name="_Toc16938553"/>
      <w:r/>
      <w:bookmarkStart w:id="405" w:name="_Toc513029237"/>
      <w:r/>
      <w:bookmarkStart w:id="406"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bookmarkEnd w:id="400"/>
      <w:r/>
      <w:bookmarkEnd w:id="401"/>
      <w:r/>
      <w:bookmarkEnd w:id="402"/>
      <w:r/>
      <w:bookmarkEnd w:id="403"/>
      <w:r>
        <w:rPr>
          <w:rFonts w:hint="eastAsia" w:ascii="黑体" w:hAnsi="宋体" w:eastAsia="黑体"/>
          <w:bCs/>
          <w:color w:val="000000"/>
          <w:sz w:val="30"/>
          <w:szCs w:val="30"/>
          <w:highlight w:val="none"/>
        </w:rPr>
      </w:r>
      <w:r/>
    </w:p>
    <w:p>
      <w:pPr>
        <w:pStyle w:val="821"/>
        <w:ind w:firstLine="480"/>
        <w:spacing w:line="360" w:lineRule="auto"/>
        <w:rPr>
          <w:rFonts w:hint="eastAsia" w:ascii="宋体" w:hAnsi="宋体"/>
          <w:color w:val="000000"/>
          <w:sz w:val="24"/>
          <w:szCs w:val="24"/>
          <w:highlight w:val="none"/>
        </w:rPr>
        <w:outlineLvl w:val="2"/>
      </w:pPr>
      <w:r/>
      <w:bookmarkStart w:id="407" w:name="_Toc14805"/>
      <w:r/>
      <w:bookmarkStart w:id="408" w:name="_Toc24840"/>
      <w:r/>
      <w:bookmarkStart w:id="409" w:name="_Toc2535"/>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bookmarkEnd w:id="407"/>
      <w:r/>
      <w:bookmarkEnd w:id="408"/>
      <w:r/>
      <w:bookmarkEnd w:id="409"/>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821"/>
        <w:ind w:firstLine="600"/>
        <w:keepLines/>
        <w:keepNext/>
        <w:spacing w:line="360" w:lineRule="auto"/>
        <w:rPr>
          <w:rFonts w:hint="eastAsia" w:ascii="黑体" w:hAnsi="宋体" w:eastAsia="黑体"/>
          <w:bCs/>
          <w:color w:val="000000"/>
          <w:sz w:val="30"/>
          <w:szCs w:val="30"/>
          <w:highlight w:val="none"/>
        </w:rPr>
        <w:outlineLvl w:val="1"/>
      </w:pPr>
      <w:r/>
      <w:bookmarkStart w:id="410" w:name="_Toc18038"/>
      <w:r/>
      <w:bookmarkStart w:id="411" w:name="_Toc2982"/>
      <w:r/>
      <w:bookmarkStart w:id="412" w:name="_Toc12082"/>
      <w:r/>
      <w:bookmarkStart w:id="413" w:name="_Toc3105"/>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bookmarkEnd w:id="410"/>
      <w:r/>
      <w:bookmarkEnd w:id="411"/>
      <w:r/>
      <w:bookmarkEnd w:id="412"/>
      <w:r/>
      <w:bookmarkEnd w:id="413"/>
      <w:r>
        <w:rPr>
          <w:rFonts w:hint="eastAsia" w:ascii="黑体" w:hAnsi="宋体" w:eastAsia="黑体"/>
          <w:bCs/>
          <w:color w:val="000000"/>
          <w:sz w:val="30"/>
          <w:szCs w:val="30"/>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21"/>
        <w:ind w:firstLine="600"/>
        <w:keepLines/>
        <w:keepNext/>
        <w:spacing w:line="360" w:lineRule="auto"/>
        <w:rPr>
          <w:rFonts w:ascii="黑体" w:hAnsi="宋体" w:eastAsia="黑体"/>
          <w:bCs/>
          <w:color w:val="000000"/>
          <w:sz w:val="30"/>
          <w:szCs w:val="30"/>
          <w:highlight w:val="none"/>
        </w:rPr>
        <w:outlineLvl w:val="1"/>
      </w:pPr>
      <w:r/>
      <w:bookmarkEnd w:id="404"/>
      <w:r/>
      <w:bookmarkEnd w:id="405"/>
      <w:r/>
      <w:bookmarkEnd w:id="406"/>
      <w:r/>
      <w:bookmarkStart w:id="414" w:name="_Toc2406"/>
      <w:r/>
      <w:bookmarkStart w:id="415" w:name="_Toc1741"/>
      <w:r/>
      <w:bookmarkStart w:id="416" w:name="_Toc8087"/>
      <w:r/>
      <w:bookmarkStart w:id="417" w:name="_Toc29301"/>
      <w:r/>
      <w:bookmarkStart w:id="418" w:name="_Toc479757207"/>
      <w:r/>
      <w:bookmarkStart w:id="419" w:name="_Toc513029242"/>
      <w:r/>
      <w:bookmarkStart w:id="420" w:name="_Toc16938558"/>
      <w:r/>
      <w:bookmarkStart w:id="421" w:name="_Toc120614221"/>
      <w:r/>
      <w:bookmarkStart w:id="422" w:name="_Toc20823314"/>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bookmarkEnd w:id="414"/>
      <w:r/>
      <w:bookmarkEnd w:id="415"/>
      <w:r/>
      <w:bookmarkEnd w:id="416"/>
      <w:r/>
      <w:bookmarkEnd w:id="417"/>
      <w:r>
        <w:rPr>
          <w:rFonts w:ascii="黑体" w:hAnsi="宋体" w:eastAsia="黑体"/>
          <w:bCs/>
          <w:color w:val="000000"/>
          <w:sz w:val="30"/>
          <w:szCs w:val="30"/>
          <w:highlight w:val="none"/>
        </w:rPr>
      </w:r>
      <w:r/>
    </w:p>
    <w:p>
      <w:pPr>
        <w:pStyle w:val="82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821"/>
        <w:ind w:firstLine="600"/>
        <w:keepLines/>
        <w:keepNext/>
        <w:spacing w:line="360" w:lineRule="auto"/>
        <w:rPr>
          <w:rFonts w:hint="eastAsia" w:ascii="Times New Roman" w:hAnsi="Times New Roman"/>
          <w:color w:val="000000"/>
          <w:szCs w:val="21"/>
          <w:highlight w:val="none"/>
        </w:rPr>
        <w:outlineLvl w:val="1"/>
      </w:pPr>
      <w:r/>
      <w:bookmarkStart w:id="423" w:name="_Toc4149"/>
      <w:r>
        <w:rPr>
          <w:rFonts w:hint="eastAsia" w:ascii="黑体" w:hAnsi="宋体" w:eastAsia="黑体"/>
          <w:bCs/>
          <w:color w:val="000000"/>
          <w:sz w:val="30"/>
          <w:szCs w:val="30"/>
          <w:highlight w:val="none"/>
        </w:rPr>
        <w:t xml:space="preserve">34、政府采购政策功能</w:t>
      </w:r>
      <w:bookmarkEnd w:id="423"/>
      <w:r>
        <w:rPr>
          <w:rFonts w:hint="eastAsia" w:ascii="Times New Roman" w:hAnsi="Times New Roman"/>
          <w:color w:val="000000"/>
          <w:szCs w:val="21"/>
          <w:highlight w:val="none"/>
        </w:rPr>
      </w:r>
      <w:r/>
    </w:p>
    <w:p>
      <w:pPr>
        <w:pStyle w:val="821"/>
        <w:ind w:firstLine="480"/>
        <w:spacing w:line="360" w:lineRule="auto"/>
        <w:rPr>
          <w:rFonts w:hint="eastAsia" w:ascii="宋体" w:hAnsi="宋体"/>
          <w:bCs/>
          <w:color w:val="000000"/>
          <w:sz w:val="24"/>
          <w:szCs w:val="24"/>
          <w:highlight w:val="none"/>
        </w:rPr>
        <w:outlineLvl w:val="2"/>
      </w:pPr>
      <w:r/>
      <w:bookmarkStart w:id="424" w:name="_Toc645"/>
      <w:r>
        <w:rPr>
          <w:rFonts w:hint="eastAsia" w:ascii="宋体" w:hAnsi="宋体"/>
          <w:bCs/>
          <w:color w:val="000000"/>
          <w:sz w:val="24"/>
          <w:szCs w:val="24"/>
          <w:highlight w:val="none"/>
        </w:rPr>
        <w:t xml:space="preserve">34.1支持绿色发展</w:t>
      </w:r>
      <w:bookmarkEnd w:id="424"/>
      <w:r>
        <w:rPr>
          <w:rFonts w:hint="eastAsia" w:ascii="宋体" w:hAnsi="宋体"/>
          <w:bCs/>
          <w:color w:val="000000"/>
          <w:sz w:val="24"/>
          <w:szCs w:val="24"/>
          <w:highlight w:val="none"/>
        </w:rPr>
      </w:r>
      <w:r/>
    </w:p>
    <w:p>
      <w:pPr>
        <w:pStyle w:val="82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bCs/>
          <w:color w:val="000000"/>
          <w:sz w:val="24"/>
          <w:szCs w:val="24"/>
          <w:highlight w:val="none"/>
        </w:rPr>
      </w:r>
      <w:r/>
    </w:p>
    <w:p>
      <w:pPr>
        <w:pStyle w:val="82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bCs/>
          <w:color w:val="000000"/>
          <w:sz w:val="24"/>
          <w:szCs w:val="24"/>
          <w:highlight w:val="none"/>
        </w:rPr>
      </w:r>
      <w:r/>
    </w:p>
    <w:p>
      <w:pPr>
        <w:pStyle w:val="82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hint="eastAsia" w:ascii="宋体" w:hAnsi="宋体"/>
          <w:bCs/>
          <w:color w:val="000000"/>
          <w:sz w:val="24"/>
          <w:szCs w:val="24"/>
          <w:highlight w:val="none"/>
        </w:rPr>
      </w:r>
      <w:r/>
    </w:p>
    <w:p>
      <w:pPr>
        <w:pStyle w:val="821"/>
        <w:ind w:firstLine="480"/>
        <w:spacing w:line="360" w:lineRule="auto"/>
        <w:rPr>
          <w:rFonts w:hint="eastAsia" w:ascii="宋体" w:hAnsi="宋体"/>
          <w:bCs/>
          <w:color w:val="000000"/>
          <w:sz w:val="24"/>
          <w:szCs w:val="24"/>
          <w:highlight w:val="none"/>
        </w:rPr>
        <w:outlineLvl w:val="2"/>
      </w:pPr>
      <w:r/>
      <w:bookmarkStart w:id="425" w:name="_Toc20068"/>
      <w:r>
        <w:rPr>
          <w:rFonts w:hint="eastAsia" w:ascii="宋体" w:hAnsi="宋体"/>
          <w:bCs/>
          <w:color w:val="000000"/>
          <w:sz w:val="24"/>
          <w:szCs w:val="24"/>
          <w:highlight w:val="none"/>
        </w:rPr>
        <w:t xml:space="preserve">34.2政府采购需求标准</w:t>
      </w:r>
      <w:bookmarkEnd w:id="425"/>
      <w:r>
        <w:rPr>
          <w:rFonts w:hint="eastAsia" w:ascii="宋体" w:hAnsi="宋体"/>
          <w:bCs/>
          <w:color w:val="000000"/>
          <w:sz w:val="24"/>
          <w:szCs w:val="24"/>
          <w:highlight w:val="none"/>
        </w:rPr>
      </w:r>
      <w:r/>
    </w:p>
    <w:p>
      <w:pPr>
        <w:pStyle w:val="82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本项目执行《绿色数据中</w:t>
      </w:r>
      <w:r>
        <w:rPr>
          <w:rFonts w:hint="eastAsia" w:ascii="宋体" w:hAnsi="宋体"/>
          <w:bCs/>
          <w:color w:val="000000"/>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bCs/>
          <w:color w:val="000000"/>
          <w:sz w:val="24"/>
          <w:szCs w:val="24"/>
          <w:highlight w:val="none"/>
        </w:rPr>
      </w:r>
      <w:r/>
    </w:p>
    <w:p>
      <w:pPr>
        <w:pStyle w:val="821"/>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1"/>
        <w:jc w:val="center"/>
        <w:keepNext/>
        <w:spacing w:line="360" w:lineRule="auto"/>
        <w:rPr>
          <w:rFonts w:hint="eastAsia" w:ascii="黑体" w:hAnsi="Times New Roman" w:eastAsia="黑体"/>
          <w:bCs/>
          <w:color w:val="000000"/>
          <w:sz w:val="44"/>
          <w:szCs w:val="28"/>
          <w:highlight w:val="none"/>
        </w:rPr>
        <w:outlineLvl w:val="0"/>
      </w:pPr>
      <w:r/>
      <w:bookmarkStart w:id="426" w:name="_Toc27788"/>
      <w:r/>
      <w:bookmarkStart w:id="427" w:name="_Toc12487"/>
      <w:r/>
      <w:bookmarkStart w:id="428" w:name="_Toc29380"/>
      <w:r/>
      <w:bookmarkStart w:id="429" w:name="_Toc27990"/>
      <w:r/>
      <w:bookmarkStart w:id="430" w:name="_Toc21793"/>
      <w:r>
        <w:rPr>
          <w:rFonts w:hint="eastAsia" w:ascii="黑体" w:hAnsi="Times New Roman" w:eastAsia="黑体"/>
          <w:bCs/>
          <w:color w:val="000000"/>
          <w:sz w:val="44"/>
          <w:szCs w:val="28"/>
          <w:highlight w:val="none"/>
        </w:rPr>
        <w:t xml:space="preserve">第三章  合同</w:t>
      </w:r>
      <w:bookmarkEnd w:id="418"/>
      <w:r/>
      <w:bookmarkEnd w:id="419"/>
      <w:r/>
      <w:bookmarkEnd w:id="420"/>
      <w:r/>
      <w:bookmarkEnd w:id="421"/>
      <w:r/>
      <w:bookmarkEnd w:id="422"/>
      <w:r>
        <w:rPr>
          <w:rFonts w:hint="eastAsia" w:ascii="黑体" w:hAnsi="Times New Roman" w:eastAsia="黑体"/>
          <w:bCs/>
          <w:color w:val="000000"/>
          <w:sz w:val="44"/>
          <w:szCs w:val="28"/>
          <w:highlight w:val="none"/>
        </w:rPr>
        <w:t xml:space="preserve">文本</w:t>
      </w:r>
      <w:bookmarkEnd w:id="426"/>
      <w:r/>
      <w:bookmarkEnd w:id="427"/>
      <w:r/>
      <w:bookmarkEnd w:id="428"/>
      <w:r/>
      <w:bookmarkEnd w:id="429"/>
      <w:r/>
      <w:bookmarkEnd w:id="430"/>
      <w:r>
        <w:rPr>
          <w:rFonts w:hint="eastAsia" w:ascii="黑体" w:hAnsi="Times New Roman" w:eastAsia="黑体"/>
          <w:bCs/>
          <w:color w:val="000000"/>
          <w:sz w:val="44"/>
          <w:szCs w:val="28"/>
          <w:highlight w:val="none"/>
        </w:rPr>
      </w:r>
      <w:r/>
    </w:p>
    <w:p>
      <w:pPr>
        <w:pStyle w:val="821"/>
        <w:ind w:firstLine="480"/>
        <w:jc w:val="left"/>
        <w:spacing w:line="360" w:lineRule="auto"/>
        <w:rPr>
          <w:rFonts w:ascii="宋体" w:hAnsi="宋体" w:cs="宋体"/>
          <w:bCs/>
          <w:color w:val="000000"/>
          <w:sz w:val="24"/>
          <w:szCs w:val="21"/>
          <w:highlight w:val="none"/>
        </w:rPr>
      </w:pPr>
      <w:r/>
      <w:bookmarkStart w:id="431" w:name="_Toc16938559"/>
      <w:r/>
      <w:bookmarkStart w:id="432" w:name="_Toc513029243"/>
      <w:r/>
      <w:bookmarkStart w:id="433" w:name="_Toc20823315"/>
      <w:r/>
      <w:bookmarkStart w:id="434" w:name="_Toc479757211"/>
      <w:r/>
      <w:bookmarkStart w:id="435" w:name="_Toc6055"/>
      <w:r/>
      <w:bookmarkStart w:id="436" w:name="_Toc20823346"/>
      <w:r/>
      <w:bookmarkStart w:id="437" w:name="_Toc16938590"/>
      <w:r/>
      <w:bookmarkStart w:id="438" w:name="_Toc120614244"/>
      <w:r/>
      <w:bookmarkStart w:id="439" w:name="_Hlt16619350"/>
      <w:r/>
      <w:bookmarkStart w:id="440" w:name="_Toc462564139"/>
      <w:r>
        <w:rPr>
          <w:rFonts w:hint="eastAsia" w:ascii="宋体" w:hAnsi="宋体" w:cs="宋体"/>
          <w:bCs/>
          <w:color w:val="000000"/>
          <w:sz w:val="24"/>
          <w:szCs w:val="21"/>
          <w:highlight w:val="none"/>
        </w:rPr>
        <w:t xml:space="preserve">以下为中标后签定本项目合同的通用条款，中标人不得提出实质性的修改，关于专用条款将由采购人与中标人结合本项目具体情况协商后签订。</w:t>
      </w:r>
      <w:r>
        <w:rPr>
          <w:rFonts w:ascii="宋体" w:hAnsi="宋体" w:cs="宋体"/>
          <w:bCs/>
          <w:color w:val="000000"/>
          <w:sz w:val="24"/>
          <w:szCs w:val="21"/>
          <w:highlight w:val="none"/>
        </w:rPr>
      </w:r>
      <w:r/>
    </w:p>
    <w:p>
      <w:pPr>
        <w:pStyle w:val="821"/>
        <w:jc w:val="center"/>
        <w:spacing w:line="360" w:lineRule="auto"/>
        <w:rPr>
          <w:rFonts w:ascii="宋体" w:hAnsi="宋体" w:cs="宋体"/>
          <w:b/>
          <w:bCs/>
          <w:color w:val="000000"/>
          <w:sz w:val="30"/>
          <w:szCs w:val="20"/>
          <w:highlight w:val="none"/>
        </w:rPr>
        <w:outlineLvl w:val="0"/>
      </w:pPr>
      <w:r/>
      <w:bookmarkStart w:id="441" w:name="_Toc192491948"/>
      <w:r/>
      <w:bookmarkStart w:id="442" w:name="_Toc5235"/>
      <w:r/>
      <w:bookmarkStart w:id="443" w:name="_Toc4396"/>
      <w:r/>
      <w:bookmarkStart w:id="444" w:name="_Toc5212"/>
      <w:r/>
      <w:bookmarkStart w:id="445" w:name="_Toc24456"/>
      <w:r/>
      <w:bookmarkStart w:id="446" w:name="_Toc20736"/>
      <w:r/>
      <w:bookmarkStart w:id="447" w:name="_Toc18016"/>
      <w:r/>
      <w:bookmarkStart w:id="448" w:name="_Toc4435"/>
      <w:r/>
      <w:bookmarkStart w:id="449" w:name="_Toc23584"/>
      <w:r>
        <w:rPr>
          <w:rFonts w:hint="eastAsia" w:ascii="宋体" w:hAnsi="宋体" w:cs="宋体"/>
          <w:b/>
          <w:color w:val="000000"/>
          <w:sz w:val="30"/>
          <w:szCs w:val="21"/>
          <w:highlight w:val="none"/>
        </w:rPr>
        <w:t xml:space="preserve">江苏省政府采购合同（货物）（合同编号）</w:t>
      </w:r>
      <w:bookmarkEnd w:id="431"/>
      <w:r/>
      <w:bookmarkEnd w:id="432"/>
      <w:r/>
      <w:bookmarkEnd w:id="433"/>
      <w:r/>
      <w:bookmarkEnd w:id="441"/>
      <w:r/>
      <w:bookmarkEnd w:id="442"/>
      <w:r/>
      <w:bookmarkEnd w:id="443"/>
      <w:r/>
      <w:bookmarkEnd w:id="444"/>
      <w:r/>
      <w:bookmarkEnd w:id="445"/>
      <w:r/>
      <w:bookmarkEnd w:id="446"/>
      <w:r/>
      <w:bookmarkEnd w:id="447"/>
      <w:r/>
      <w:bookmarkEnd w:id="448"/>
      <w:r/>
      <w:bookmarkEnd w:id="449"/>
      <w:r>
        <w:rPr>
          <w:rFonts w:ascii="宋体" w:hAnsi="宋体" w:cs="宋体"/>
          <w:b/>
          <w:bCs/>
          <w:color w:val="000000"/>
          <w:sz w:val="30"/>
          <w:szCs w:val="20"/>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甲方：连云港市第一人民医院</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 </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bookmarkStart w:id="450" w:name="_Toc192491949"/>
      <w:r/>
      <w:bookmarkStart w:id="451" w:name="_Toc3880"/>
      <w:r/>
      <w:bookmarkStart w:id="452" w:name="_Toc19502"/>
      <w:r/>
      <w:bookmarkStart w:id="453" w:name="_Toc1399"/>
      <w:r>
        <w:rPr>
          <w:rFonts w:hint="eastAsia" w:ascii="宋体" w:hAnsi="宋体" w:cs="宋体"/>
          <w:color w:val="000000"/>
          <w:sz w:val="24"/>
          <w:szCs w:val="24"/>
          <w:highlight w:val="none"/>
        </w:rPr>
        <w:t xml:space="preserve">甲乙双方按照《中华人民共和国</w:t>
      </w:r>
      <w:r>
        <w:rPr>
          <w:rFonts w:hint="eastAsia" w:ascii="宋体" w:hAnsi="宋体" w:cs="宋体"/>
          <w:color w:val="000000"/>
          <w:sz w:val="24"/>
          <w:szCs w:val="24"/>
          <w:highlight w:val="none"/>
          <w:lang w:eastAsia="en-US"/>
        </w:rPr>
        <w:t xml:space="preserve">民法典</w:t>
      </w:r>
      <w:r>
        <w:rPr>
          <w:rFonts w:hint="eastAsia" w:ascii="宋体" w:hAnsi="宋体" w:cs="宋体"/>
          <w:color w:val="000000"/>
          <w:sz w:val="24"/>
          <w:szCs w:val="24"/>
          <w:highlight w:val="none"/>
        </w:rPr>
        <w:t xml:space="preserve">》及其它相关法律、法规的规定，并遵循平等互利、自愿、公平和诚信的原则，结合本项目具体情况和特点，为明确双方的权利、义务和责任，经双方协商一致，订立本合同。</w:t>
      </w:r>
      <w:bookmarkEnd w:id="450"/>
      <w:r/>
      <w:bookmarkEnd w:id="451"/>
      <w:r/>
      <w:bookmarkEnd w:id="452"/>
      <w:r/>
      <w:bookmarkEnd w:id="453"/>
      <w:r>
        <w:rPr>
          <w:rFonts w:ascii="宋体" w:hAnsi="宋体" w:cs="宋体"/>
          <w:color w:val="000000"/>
          <w:sz w:val="24"/>
          <w:szCs w:val="24"/>
          <w:highlight w:val="none"/>
        </w:rPr>
      </w:r>
      <w:r/>
    </w:p>
    <w:p>
      <w:pPr>
        <w:pStyle w:val="821"/>
        <w:numPr>
          <w:ilvl w:val="0"/>
          <w:numId w:val="4"/>
        </w:numPr>
        <w:ind w:left="0" w:firstLine="482"/>
        <w:jc w:val="left"/>
        <w:spacing w:line="360" w:lineRule="auto"/>
        <w:rPr>
          <w:rFonts w:ascii="宋体" w:hAnsi="宋体" w:cs="宋体"/>
          <w:b/>
          <w:color w:val="000000"/>
          <w:sz w:val="24"/>
          <w:szCs w:val="24"/>
          <w:highlight w:val="none"/>
        </w:rPr>
        <w:outlineLvl w:val="0"/>
      </w:pPr>
      <w:r/>
      <w:bookmarkStart w:id="454" w:name="_Toc2924"/>
      <w:r>
        <w:rPr>
          <w:rFonts w:hint="eastAsia" w:ascii="宋体" w:hAnsi="宋体" w:cs="宋体"/>
          <w:b/>
          <w:color w:val="000000"/>
          <w:sz w:val="24"/>
          <w:szCs w:val="24"/>
          <w:highlight w:val="none"/>
        </w:rPr>
        <w:t xml:space="preserve">合同内容</w:t>
      </w:r>
      <w:bookmarkEnd w:id="454"/>
      <w:r>
        <w:rPr>
          <w:rFonts w:ascii="宋体" w:hAnsi="宋体" w:cs="宋体"/>
          <w:b/>
          <w:color w:val="000000"/>
          <w:sz w:val="24"/>
          <w:szCs w:val="24"/>
          <w:highlight w:val="none"/>
        </w:rPr>
      </w:r>
      <w:r/>
    </w:p>
    <w:tbl>
      <w:tblPr>
        <w:tblW w:w="9417"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3"/>
        <w:gridCol w:w="1113"/>
        <w:gridCol w:w="1064"/>
        <w:gridCol w:w="1450"/>
        <w:gridCol w:w="929"/>
        <w:gridCol w:w="1065"/>
        <w:gridCol w:w="1340"/>
        <w:gridCol w:w="1653"/>
      </w:tblGrid>
      <w:tr>
        <w:trPr>
          <w:trHeight w:val="801" w:hRule="exact"/>
        </w:trPr>
        <w:tc>
          <w:tcPr>
            <w:tcW w:w="803"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W w:w="1113"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名称</w:t>
            </w:r>
            <w:r>
              <w:rPr>
                <w:rFonts w:ascii="宋体" w:hAnsi="宋体" w:cs="宋体"/>
                <w:b/>
                <w:color w:val="000000"/>
                <w:sz w:val="24"/>
                <w:szCs w:val="24"/>
                <w:highlight w:val="none"/>
              </w:rPr>
            </w:r>
            <w:r/>
          </w:p>
        </w:tc>
        <w:tc>
          <w:tcPr>
            <w:tcW w:w="1064"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en-US"/>
              </w:rPr>
              <w:t xml:space="preserve">品牌</w:t>
            </w:r>
            <w:r>
              <w:rPr>
                <w:rFonts w:ascii="宋体" w:hAnsi="宋体" w:cs="宋体"/>
                <w:b/>
                <w:color w:val="000000"/>
                <w:sz w:val="24"/>
                <w:szCs w:val="24"/>
                <w:highlight w:val="none"/>
              </w:rPr>
            </w:r>
            <w:r/>
          </w:p>
        </w:tc>
        <w:tc>
          <w:tcPr>
            <w:tcW w:w="1450"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规格型号</w:t>
            </w:r>
            <w:r>
              <w:rPr>
                <w:rFonts w:ascii="宋体" w:hAnsi="宋体" w:cs="宋体"/>
                <w:b/>
                <w:color w:val="000000"/>
                <w:sz w:val="24"/>
                <w:szCs w:val="24"/>
                <w:highlight w:val="none"/>
              </w:rPr>
            </w:r>
            <w:r/>
          </w:p>
        </w:tc>
        <w:tc>
          <w:tcPr>
            <w:tcW w:w="929"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单位</w:t>
            </w:r>
            <w:r>
              <w:rPr>
                <w:rFonts w:ascii="宋体" w:hAnsi="宋体" w:cs="宋体"/>
                <w:b/>
                <w:color w:val="000000"/>
                <w:sz w:val="24"/>
                <w:szCs w:val="24"/>
                <w:highlight w:val="none"/>
              </w:rPr>
            </w:r>
            <w:r/>
          </w:p>
        </w:tc>
        <w:tc>
          <w:tcPr>
            <w:tcW w:w="1065"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数量</w:t>
            </w:r>
            <w:r>
              <w:rPr>
                <w:rFonts w:ascii="宋体" w:hAnsi="宋体" w:cs="宋体"/>
                <w:b/>
                <w:color w:val="000000"/>
                <w:sz w:val="24"/>
                <w:szCs w:val="24"/>
                <w:highlight w:val="none"/>
              </w:rPr>
            </w:r>
            <w:r/>
          </w:p>
        </w:tc>
        <w:tc>
          <w:tcPr>
            <w:tcW w:w="1340"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单价</w:t>
            </w:r>
            <w:r>
              <w:rPr>
                <w:rFonts w:ascii="宋体" w:hAnsi="宋体" w:cs="宋体"/>
                <w:b/>
                <w:color w:val="000000"/>
                <w:sz w:val="24"/>
                <w:szCs w:val="24"/>
                <w:highlight w:val="none"/>
              </w:rPr>
            </w:r>
            <w:r/>
          </w:p>
        </w:tc>
        <w:tc>
          <w:tcPr>
            <w:tcW w:w="1653"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总价</w:t>
            </w:r>
            <w:r>
              <w:rPr>
                <w:rFonts w:ascii="宋体" w:hAnsi="宋体" w:cs="宋体"/>
                <w:b/>
                <w:color w:val="000000"/>
                <w:sz w:val="24"/>
                <w:szCs w:val="24"/>
                <w:highlight w:val="none"/>
              </w:rPr>
            </w:r>
            <w:r/>
          </w:p>
        </w:tc>
      </w:tr>
      <w:tr>
        <w:trPr>
          <w:trHeight w:val="672" w:hRule="exact"/>
        </w:trPr>
        <w:tc>
          <w:tcPr>
            <w:tcW w:w="803" w:type="dxa"/>
            <w:vAlign w:val="center"/>
            <w:textDirection w:val="lrTb"/>
            <w:noWrap w:val="false"/>
          </w:tcPr>
          <w:p>
            <w:pPr>
              <w:pStyle w:val="82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13"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64"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50"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29"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65"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40"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653"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93" w:hRule="exact"/>
        </w:trPr>
        <w:tc>
          <w:tcPr>
            <w:tcW w:w="803" w:type="dxa"/>
            <w:vAlign w:val="center"/>
            <w:textDirection w:val="lrTb"/>
            <w:noWrap w:val="false"/>
          </w:tcPr>
          <w:p>
            <w:pPr>
              <w:pStyle w:val="82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113"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64"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50"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29"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65"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40"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653"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hRule="exact"/>
        </w:trPr>
        <w:tc>
          <w:tcPr>
            <w:tcW w:w="803" w:type="dxa"/>
            <w:vAlign w:val="center"/>
            <w:textDirection w:val="lrTb"/>
            <w:noWrap w:val="false"/>
          </w:tcPr>
          <w:p>
            <w:pPr>
              <w:pStyle w:val="82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113"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64"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50"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29"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65"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40"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653" w:type="dxa"/>
            <w:vAlign w:val="center"/>
            <w:textDirection w:val="lrTb"/>
            <w:noWrap w:val="false"/>
          </w:tcPr>
          <w:p>
            <w:pPr>
              <w:pStyle w:val="821"/>
              <w:ind w:firstLine="4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51" w:hRule="exact"/>
        </w:trPr>
        <w:tc>
          <w:tcPr>
            <w:tcW w:w="803" w:type="dxa"/>
            <w:vAlign w:val="center"/>
            <w:textDirection w:val="lrTb"/>
            <w:noWrap w:val="false"/>
          </w:tcPr>
          <w:p>
            <w:pPr>
              <w:pStyle w:val="821"/>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合计</w:t>
            </w:r>
            <w:r>
              <w:rPr>
                <w:rFonts w:ascii="宋体" w:hAnsi="宋体" w:cs="宋体"/>
                <w:b/>
                <w:color w:val="000000"/>
                <w:sz w:val="24"/>
                <w:szCs w:val="24"/>
                <w:highlight w:val="none"/>
              </w:rPr>
            </w:r>
            <w:r/>
          </w:p>
        </w:tc>
        <w:tc>
          <w:tcPr>
            <w:gridSpan w:val="7"/>
            <w:tcW w:w="8614" w:type="dxa"/>
            <w:vAlign w:val="center"/>
            <w:textDirection w:val="lrTb"/>
            <w:noWrap w:val="false"/>
          </w:tcPr>
          <w:p>
            <w:pPr>
              <w:pStyle w:val="821"/>
              <w:jc w:val="center"/>
              <w:spacing w:line="360" w:lineRule="auto"/>
              <w:widowControl/>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（大写）： </w:t>
            </w:r>
            <w:r>
              <w:rPr>
                <w:rFonts w:hint="eastAsia" w:ascii="宋体" w:hAnsi="宋体" w:cs="宋体"/>
                <w:b/>
                <w:color w:val="000000"/>
                <w:sz w:val="24"/>
                <w:szCs w:val="24"/>
                <w:highlight w:val="none"/>
              </w:rPr>
              <w:t xml:space="preserve">人民币</w:t>
            </w:r>
            <w:r>
              <w:rPr>
                <w:rFonts w:hint="eastAsia" w:ascii="宋体" w:hAnsi="宋体" w:cs="宋体"/>
                <w:bCs/>
                <w:color w:val="000000"/>
                <w:sz w:val="24"/>
                <w:szCs w:val="24"/>
                <w:highlight w:val="none"/>
              </w:rPr>
              <w:t xml:space="preserve">          （小写：¥）</w:t>
            </w:r>
            <w:r>
              <w:rPr>
                <w:rFonts w:ascii="宋体" w:hAnsi="宋体" w:cs="宋体"/>
                <w:b/>
                <w:color w:val="000000"/>
                <w:sz w:val="24"/>
                <w:szCs w:val="24"/>
                <w:highlight w:val="none"/>
              </w:rPr>
            </w:r>
            <w:r/>
          </w:p>
        </w:tc>
      </w:tr>
    </w:tbl>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注：合同价款已包含</w:t>
      </w:r>
      <w:r>
        <w:rPr>
          <w:rFonts w:hint="eastAsia" w:ascii="宋体" w:hAnsi="宋体" w:cs="宋体"/>
          <w:color w:val="000000"/>
          <w:sz w:val="24"/>
          <w:szCs w:val="24"/>
          <w:highlight w:val="none"/>
          <w:lang w:eastAsia="en-US"/>
        </w:rPr>
        <w:t xml:space="preserve">但不限于</w:t>
      </w:r>
      <w:r>
        <w:rPr>
          <w:rFonts w:hint="eastAsia" w:ascii="宋体" w:hAnsi="宋体" w:cs="宋体"/>
          <w:color w:val="000000"/>
          <w:sz w:val="24"/>
          <w:szCs w:val="24"/>
          <w:highlight w:val="none"/>
        </w:rPr>
        <w:t xml:space="preserve">系统研发生产、安装调试、运输、保险、检测检验、管理费、产品保护、技术服务、税金、利润、不可预见及其它相关所有费用，直至交付甲方使用。</w:t>
      </w:r>
      <w:r>
        <w:rPr>
          <w:rFonts w:ascii="宋体" w:hAnsi="宋体" w:cs="宋体"/>
          <w:color w:val="000000"/>
          <w:sz w:val="24"/>
          <w:szCs w:val="24"/>
          <w:highlight w:val="none"/>
        </w:rPr>
      </w:r>
      <w:r/>
    </w:p>
    <w:p>
      <w:pPr>
        <w:pStyle w:val="821"/>
        <w:ind w:firstLine="482"/>
        <w:jc w:val="left"/>
        <w:spacing w:line="360" w:lineRule="auto"/>
        <w:rPr>
          <w:rFonts w:ascii="宋体" w:hAnsi="宋体" w:cs="宋体"/>
          <w:b/>
          <w:color w:val="000000"/>
          <w:sz w:val="24"/>
          <w:szCs w:val="24"/>
          <w:highlight w:val="none"/>
        </w:rPr>
        <w:outlineLvl w:val="0"/>
      </w:pPr>
      <w:r/>
      <w:bookmarkStart w:id="455" w:name="_Toc29093"/>
      <w:r>
        <w:rPr>
          <w:rFonts w:hint="eastAsia" w:ascii="宋体" w:hAnsi="宋体" w:cs="宋体"/>
          <w:b/>
          <w:color w:val="000000"/>
          <w:sz w:val="24"/>
          <w:szCs w:val="24"/>
          <w:highlight w:val="none"/>
        </w:rPr>
        <w:t xml:space="preserve">二、交货时间、地点</w:t>
      </w:r>
      <w:bookmarkEnd w:id="455"/>
      <w:r>
        <w:rPr>
          <w:rFonts w:ascii="宋体" w:hAnsi="宋体" w:cs="宋体"/>
          <w:b/>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交货时间：合同签订后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天内交货并完成安装调试。合同签署后，乙方将根据双方确定的合同内容进行系统开发和部署，并根据双方约定和计划完成项目实施并交甲方验收。</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交货地点：连云港市第一人民医院</w:t>
      </w:r>
      <w:r>
        <w:rPr>
          <w:rFonts w:hint="eastAsia" w:ascii="宋体" w:hAnsi="宋体" w:cs="宋体"/>
          <w:color w:val="000000"/>
          <w:sz w:val="24"/>
          <w:szCs w:val="24"/>
          <w:highlight w:val="none"/>
          <w:lang w:eastAsia="en-US"/>
        </w:rPr>
        <w:t xml:space="preserve">指定院区</w:t>
      </w:r>
      <w:r>
        <w:rPr>
          <w:rFonts w:ascii="宋体" w:hAnsi="宋体" w:cs="宋体"/>
          <w:color w:val="000000"/>
          <w:sz w:val="24"/>
          <w:szCs w:val="24"/>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56" w:name="_Toc24509"/>
      <w:r>
        <w:rPr>
          <w:rFonts w:hint="eastAsia" w:ascii="宋体" w:hAnsi="宋体" w:cs="宋体"/>
          <w:b/>
          <w:bCs/>
          <w:color w:val="000000"/>
          <w:sz w:val="24"/>
          <w:szCs w:val="24"/>
          <w:highlight w:val="none"/>
        </w:rPr>
        <w:t xml:space="preserve">三、项目验收</w:t>
      </w:r>
      <w:bookmarkEnd w:id="456"/>
      <w:r>
        <w:rPr>
          <w:rFonts w:ascii="宋体" w:hAnsi="宋体" w:cs="宋体"/>
          <w:b/>
          <w:bCs/>
          <w:color w:val="000000"/>
          <w:sz w:val="24"/>
          <w:szCs w:val="24"/>
          <w:highlight w:val="none"/>
        </w:rPr>
      </w:r>
      <w:r/>
    </w:p>
    <w:p>
      <w:pPr>
        <w:pStyle w:val="821"/>
        <w:ind w:firstLine="480"/>
        <w:jc w:val="left"/>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自乙方软件安装、调试结束、功能满足合同条款要求且满负荷连续正常试运行168小时后，由乙方书面提出项目验收申请，甲乙双方共同验收。验收合格后，甲方向乙方提供签字确认及盖公章的终验报告《项目验收报告》。如果甲方对系统有任何异议，应在乙方提出项目终验申请之日起7日内以书面形式提出，否则视作默认接受该软件并验收通过。</w:t>
      </w:r>
      <w:r>
        <w:rPr>
          <w:rFonts w:hint="eastAsia" w:ascii="宋体" w:hAnsi="宋体" w:cs="宋体"/>
          <w:bCs/>
          <w:color w:val="000000"/>
          <w:sz w:val="24"/>
          <w:szCs w:val="24"/>
          <w:highlight w:val="none"/>
          <w:lang w:bidi="ar"/>
        </w:rPr>
        <w:t xml:space="preserve">乙方应提交所提供产品实施、使用和维护涉及的全部技术文件，包括但不限于实施文档、操作手册、维护手册等。</w:t>
      </w:r>
      <w:r>
        <w:rPr>
          <w:rFonts w:ascii="宋体" w:hAnsi="宋体" w:cs="宋体"/>
          <w:bCs/>
          <w:color w:val="000000"/>
          <w:sz w:val="24"/>
          <w:szCs w:val="24"/>
          <w:highlight w:val="none"/>
        </w:rPr>
      </w:r>
      <w:r/>
    </w:p>
    <w:p>
      <w:pPr>
        <w:pStyle w:val="821"/>
        <w:ind w:firstLine="482"/>
        <w:jc w:val="left"/>
        <w:spacing w:line="360" w:lineRule="auto"/>
        <w:rPr>
          <w:rFonts w:ascii="宋体" w:hAnsi="宋体" w:cs="宋体"/>
          <w:b/>
          <w:color w:val="000000"/>
          <w:sz w:val="24"/>
          <w:szCs w:val="24"/>
          <w:highlight w:val="none"/>
          <w:lang w:eastAsia="en-US"/>
        </w:rPr>
        <w:outlineLvl w:val="0"/>
      </w:pPr>
      <w:r/>
      <w:bookmarkStart w:id="457" w:name="_Toc53504723"/>
      <w:r/>
      <w:bookmarkStart w:id="458" w:name="_Toc137560374"/>
      <w:r/>
      <w:bookmarkStart w:id="459" w:name="_Toc132515091"/>
      <w:r/>
      <w:bookmarkStart w:id="460" w:name="_Toc22497"/>
      <w:r>
        <w:rPr>
          <w:rFonts w:hint="eastAsia" w:ascii="宋体" w:hAnsi="宋体" w:cs="宋体"/>
          <w:b/>
          <w:color w:val="000000"/>
          <w:sz w:val="24"/>
          <w:szCs w:val="24"/>
          <w:highlight w:val="none"/>
        </w:rPr>
        <w:t xml:space="preserve">四、项目</w:t>
      </w:r>
      <w:bookmarkEnd w:id="457"/>
      <w:r/>
      <w:bookmarkEnd w:id="458"/>
      <w:r/>
      <w:bookmarkEnd w:id="459"/>
      <w:r>
        <w:rPr>
          <w:rFonts w:hint="eastAsia" w:ascii="宋体" w:hAnsi="宋体" w:cs="宋体"/>
          <w:b/>
          <w:color w:val="000000"/>
          <w:sz w:val="24"/>
          <w:szCs w:val="24"/>
          <w:highlight w:val="none"/>
        </w:rPr>
        <w:t xml:space="preserve">移交</w:t>
      </w:r>
      <w:r>
        <w:rPr>
          <w:rFonts w:ascii="宋体" w:hAnsi="宋体" w:cs="宋体"/>
          <w:b/>
          <w:color w:val="000000"/>
          <w:sz w:val="24"/>
          <w:szCs w:val="24"/>
          <w:highlight w:val="none"/>
        </w:rPr>
        <w:t xml:space="preserve">、</w:t>
      </w:r>
      <w:r>
        <w:rPr>
          <w:rFonts w:hint="eastAsia" w:ascii="宋体" w:hAnsi="宋体" w:cs="宋体"/>
          <w:b/>
          <w:color w:val="000000"/>
          <w:sz w:val="24"/>
          <w:szCs w:val="24"/>
          <w:highlight w:val="none"/>
          <w:lang w:eastAsia="en-US"/>
        </w:rPr>
        <w:t xml:space="preserve">更新</w:t>
      </w:r>
      <w:r>
        <w:rPr>
          <w:rFonts w:hint="eastAsia" w:ascii="宋体" w:hAnsi="宋体" w:cs="宋体"/>
          <w:b/>
          <w:color w:val="000000"/>
          <w:sz w:val="24"/>
          <w:szCs w:val="24"/>
          <w:highlight w:val="none"/>
        </w:rPr>
        <w:t xml:space="preserve">及技术培训</w:t>
      </w:r>
      <w:r>
        <w:rPr>
          <w:rFonts w:ascii="宋体" w:hAnsi="宋体" w:cs="宋体"/>
          <w:b/>
          <w:color w:val="000000"/>
          <w:sz w:val="24"/>
          <w:szCs w:val="24"/>
          <w:highlight w:val="none"/>
        </w:rPr>
        <w:t xml:space="preserve">、</w:t>
      </w:r>
      <w:r>
        <w:rPr>
          <w:rFonts w:hint="eastAsia" w:ascii="宋体" w:hAnsi="宋体" w:cs="宋体"/>
          <w:b/>
          <w:color w:val="000000"/>
          <w:sz w:val="24"/>
          <w:szCs w:val="24"/>
          <w:highlight w:val="none"/>
          <w:lang w:eastAsia="en-US"/>
        </w:rPr>
        <w:t xml:space="preserve">巡检</w:t>
      </w:r>
      <w:bookmarkEnd w:id="460"/>
      <w:r>
        <w:rPr>
          <w:rFonts w:ascii="宋体" w:hAnsi="宋体" w:cs="宋体"/>
          <w:b/>
          <w:color w:val="000000"/>
          <w:sz w:val="24"/>
          <w:szCs w:val="24"/>
          <w:highlight w:val="none"/>
          <w:lang w:eastAsia="en-US"/>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1、甲乙双方书面确认验收合格后</w:t>
      </w:r>
      <w:r>
        <w:rPr>
          <w:rFonts w:hint="eastAsia" w:ascii="宋体" w:hAnsi="宋体" w:cs="宋体"/>
          <w:color w:val="000000"/>
          <w:sz w:val="24"/>
          <w:szCs w:val="24"/>
          <w:highlight w:val="none"/>
          <w:u w:val="single"/>
        </w:rPr>
        <w:t xml:space="preserve">10个工作日</w:t>
      </w:r>
      <w:r>
        <w:rPr>
          <w:rFonts w:hint="eastAsia" w:ascii="宋体" w:hAnsi="宋体" w:cs="宋体"/>
          <w:color w:val="000000"/>
          <w:sz w:val="24"/>
          <w:szCs w:val="24"/>
          <w:highlight w:val="none"/>
        </w:rPr>
        <w:t xml:space="preserve">内进行项目移交。</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2、现场技术培训：在安装过程中或安装结束后，乙方工程师对甲方工程师和系统使用人员进行免费现场操作培训，解答甲方人员提出的问题。</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en-US"/>
        </w:rPr>
        <w:t xml:space="preserve">软件更新升级</w:t>
      </w:r>
      <w:r>
        <w:rPr>
          <w:rFonts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乙方升级服务采取远程与现场相结合的方式，如远程无法完成升级服务或无法保障升级服务质量，乙方将提供现场升级服务。</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在升级服务前应当先行通知甲方并提醒甲方进行必要的数据和系统配置参数备份，甲方确认备份完成后，乙方才开始升级；升级过程中，甲方将进行系统功能与性能测试,如升级后造成系统故障，乙方负责将系统恢复至升级前系统正常状态；升级成功后乙方将向甲方提供相应的技术文档。乙方协助甲方拟定日常维护方案、系统备份方案、系统恢复方案。</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设备巡检</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乙方提供每季度一次的定期现场检查及巡检报告。若发现技术隐患，乙方须提供解决方案并明确解决期限。</w:t>
      </w:r>
      <w:r>
        <w:rPr>
          <w:rFonts w:ascii="宋体" w:hAnsi="宋体" w:cs="宋体"/>
          <w:color w:val="000000"/>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61" w:name="_Toc31265"/>
      <w:r>
        <w:rPr>
          <w:rFonts w:hint="eastAsia" w:ascii="宋体" w:hAnsi="宋体" w:cs="宋体"/>
          <w:b/>
          <w:bCs/>
          <w:color w:val="000000"/>
          <w:sz w:val="24"/>
          <w:szCs w:val="24"/>
          <w:highlight w:val="none"/>
        </w:rPr>
        <w:t xml:space="preserve">五、付款方式及期限</w:t>
      </w:r>
      <w:bookmarkEnd w:id="461"/>
      <w:r>
        <w:rPr>
          <w:rFonts w:ascii="宋体" w:hAnsi="宋体" w:cs="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支付合同金额的30%；</w:t>
      </w:r>
      <w:r>
        <w:rPr>
          <w:rFonts w:hint="eastAsia" w:ascii="宋体" w:hAnsi="宋体" w:eastAsia="宋体" w:cs="Times New Roman"/>
          <w:color w:val="000000"/>
          <w:sz w:val="24"/>
          <w:szCs w:val="24"/>
          <w:highlight w:val="none"/>
        </w:rPr>
        <w:t xml:space="preserve">系统正式上线运行后，经</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确认所有模块功能完备、运行状态稳定且满足合同约定的技术规格与业务需求，</w:t>
      </w:r>
      <w:r>
        <w:rPr>
          <w:rFonts w:hint="eastAsia" w:ascii="宋体" w:hAnsi="宋体" w:eastAsia="宋体"/>
          <w:color w:val="000000"/>
          <w:sz w:val="24"/>
          <w:szCs w:val="24"/>
          <w:highlight w:val="none"/>
          <w:lang w:val="en-US" w:eastAsia="zh-CN"/>
        </w:rPr>
        <w:t xml:space="preserve">乙方</w:t>
      </w:r>
      <w:r>
        <w:rPr>
          <w:rFonts w:hint="eastAsia" w:ascii="宋体" w:hAnsi="宋体"/>
          <w:color w:val="000000"/>
          <w:sz w:val="24"/>
          <w:szCs w:val="24"/>
          <w:highlight w:val="none"/>
        </w:rPr>
        <w:t xml:space="preserve">提供上线运行报告，</w:t>
      </w:r>
      <w:r>
        <w:rPr>
          <w:rFonts w:hint="eastAsia" w:ascii="宋体" w:hAnsi="宋体" w:eastAsia="宋体" w:cs="Times New Roman"/>
          <w:color w:val="000000"/>
          <w:sz w:val="24"/>
          <w:szCs w:val="24"/>
          <w:highlight w:val="none"/>
        </w:rPr>
        <w:t xml:space="preserve">双方共同签署</w:t>
      </w:r>
      <w:r>
        <w:rPr>
          <w:rFonts w:hint="eastAsia" w:ascii="宋体" w:hAnsi="宋体" w:eastAsia="宋体" w:cs="Times New Roman"/>
          <w:color w:val="000000"/>
          <w:sz w:val="24"/>
          <w:szCs w:val="24"/>
          <w:highlight w:val="none"/>
          <w:lang w:val="en-US" w:eastAsia="zh-CN"/>
        </w:rPr>
        <w:t xml:space="preserve">后</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支付合同</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0%的款项。</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正式获得中国合格评定国家认可委员会（CNAS）颁发的ISO 15189医学实验室认可证书（或等同效力的正式批准文件）后，</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方可向采购人提交完整的《项目验收报告》，项目验收合格后，</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付合同金额的</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付款前，</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应向</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出具符合</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要求的发票，否则</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自行承担延迟付款的责任。（扣除违约费用后，余款支付</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；若余款不足扣除，剩余部分乙方以现金方式缴纳）。</w:t>
      </w:r>
      <w:r>
        <w:rPr>
          <w:rFonts w:hint="eastAsia" w:ascii="宋体" w:hAnsi="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2、甲方的付款方式：转账☑  支票□  现金□ （请打√）</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3、本合同的所有价格应当包括相关税款和双方各自的成本和费用。</w:t>
      </w:r>
      <w:r>
        <w:rPr>
          <w:rFonts w:ascii="宋体" w:hAnsi="宋体" w:cs="宋体"/>
          <w:color w:val="000000"/>
          <w:sz w:val="24"/>
          <w:szCs w:val="24"/>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62" w:name="_Toc15755"/>
      <w:r>
        <w:rPr>
          <w:rFonts w:hint="eastAsia" w:ascii="宋体" w:hAnsi="宋体" w:cs="宋体"/>
          <w:b/>
          <w:bCs/>
          <w:color w:val="000000"/>
          <w:sz w:val="24"/>
          <w:szCs w:val="24"/>
          <w:highlight w:val="none"/>
        </w:rPr>
        <w:t xml:space="preserve">六、质保期及售后服务</w:t>
      </w:r>
      <w:bookmarkEnd w:id="462"/>
      <w:r>
        <w:rPr>
          <w:rFonts w:ascii="宋体" w:hAnsi="宋体" w:cs="宋体"/>
          <w:b/>
          <w:bCs/>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1、乙方提供免费质量保证期为</w:t>
      </w:r>
      <w:r>
        <w:rPr>
          <w:rFonts w:hint="eastAsia" w:ascii="宋体" w:hAnsi="宋体" w:cs="宋体"/>
          <w:color w:val="000000"/>
          <w:sz w:val="24"/>
          <w:szCs w:val="24"/>
          <w:highlight w:val="none"/>
          <w:u w:val="single"/>
        </w:rPr>
        <w:t xml:space="preserve">一</w:t>
      </w:r>
      <w:r>
        <w:rPr>
          <w:rFonts w:hint="eastAsia" w:ascii="宋体" w:hAnsi="宋体" w:cs="宋体"/>
          <w:color w:val="000000"/>
          <w:sz w:val="24"/>
          <w:szCs w:val="24"/>
          <w:highlight w:val="none"/>
        </w:rPr>
        <w:t xml:space="preserve">年。起算时间：自项目终验合格之日起算。</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在质保期内，因乙方所供系统、设备、材料制造或安装质量问题出现故障时，乙方在接甲方通知后，30分钟内响应、提供在线支持，2小时内解决，若不能及时解决的，24小时内提出解决方案，直至故障排除完全恢复正常服务为止。否则甲方可自行采取必要的措施，由此产生的风险和费用由乙方承担。如有特殊情况，乙方应立即电话通知甲方不能响应的原因，在获得甲方同意后，才可推迟响应时间。</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3、出保后维保事宜由甲乙双方另行协商。在保修期满后,乙方仍将尽最大商业努力在合理的时间内对发生故障的设备或物件进行修理或更换。维修及更换配件费用由双方另行协商确认。</w:t>
      </w:r>
      <w:r>
        <w:rPr>
          <w:rFonts w:ascii="宋体" w:hAnsi="宋体" w:cs="宋体"/>
          <w:color w:val="000000"/>
          <w:sz w:val="24"/>
          <w:szCs w:val="24"/>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63" w:name="_Toc22080"/>
      <w:r>
        <w:rPr>
          <w:rFonts w:hint="eastAsia" w:ascii="宋体" w:hAnsi="宋体" w:cs="宋体"/>
          <w:b/>
          <w:bCs/>
          <w:color w:val="000000"/>
          <w:sz w:val="24"/>
          <w:szCs w:val="24"/>
          <w:highlight w:val="none"/>
        </w:rPr>
        <w:t xml:space="preserve">七、软件功能清单：详见附件。</w:t>
      </w:r>
      <w:bookmarkEnd w:id="463"/>
      <w:r>
        <w:rPr>
          <w:rFonts w:ascii="宋体" w:hAnsi="宋体" w:cs="宋体"/>
          <w:b/>
          <w:bCs/>
          <w:color w:val="000000"/>
          <w:sz w:val="24"/>
          <w:szCs w:val="24"/>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64" w:name="_Toc32502"/>
      <w:r>
        <w:rPr>
          <w:rFonts w:hint="eastAsia" w:ascii="宋体" w:hAnsi="宋体" w:cs="宋体"/>
          <w:b/>
          <w:bCs/>
          <w:color w:val="000000"/>
          <w:sz w:val="24"/>
          <w:szCs w:val="24"/>
          <w:highlight w:val="none"/>
        </w:rPr>
        <w:t xml:space="preserve">八、甲乙双方责任</w:t>
      </w:r>
      <w:bookmarkEnd w:id="464"/>
      <w:r>
        <w:rPr>
          <w:rFonts w:ascii="宋体" w:hAnsi="宋体" w:cs="宋体"/>
          <w:b/>
          <w:bCs/>
          <w:color w:val="000000"/>
          <w:sz w:val="24"/>
          <w:szCs w:val="24"/>
          <w:highlight w:val="none"/>
        </w:rPr>
      </w:r>
      <w:r/>
    </w:p>
    <w:p>
      <w:pPr>
        <w:pStyle w:val="821"/>
        <w:ind w:firstLine="480"/>
        <w:jc w:val="left"/>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1、甲方负责向乙方提供安装工作环境。</w:t>
      </w:r>
      <w:r>
        <w:rPr>
          <w:rFonts w:ascii="宋体" w:hAnsi="宋体" w:cs="宋体"/>
          <w:b/>
          <w:bCs/>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2、甲方应按期向乙方支付相应项目款。</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3、乙方在安装、调试、验收过程中，甲方应积极配合。</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4、乙方应按照合同工期完成项目安装，确保按期交付运行。</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5、乙方接受甲方现场监督。</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6、乙方在甲方现场安装、调试、验收人员的安全、保险、食宿、交通</w:t>
      </w:r>
      <w:r>
        <w:rPr>
          <w:rFonts w:hint="eastAsia" w:ascii="宋体" w:hAnsi="宋体" w:cs="宋体"/>
          <w:color w:val="000000"/>
          <w:sz w:val="24"/>
          <w:szCs w:val="24"/>
          <w:highlight w:val="none"/>
          <w:lang w:eastAsia="en-US"/>
        </w:rPr>
        <w:t xml:space="preserve">等一切费用</w:t>
      </w:r>
      <w:r>
        <w:rPr>
          <w:rFonts w:hint="eastAsia" w:ascii="宋体" w:hAnsi="宋体" w:cs="宋体"/>
          <w:color w:val="000000"/>
          <w:sz w:val="24"/>
          <w:szCs w:val="24"/>
          <w:highlight w:val="none"/>
        </w:rPr>
        <w:t xml:space="preserve">，由乙方负责。</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7、本合同所涉及的设备、材料的安装、调试、验收</w:t>
      </w:r>
      <w:r>
        <w:rPr>
          <w:rFonts w:hint="eastAsia" w:ascii="宋体" w:hAnsi="宋体" w:cs="宋体"/>
          <w:color w:val="000000"/>
          <w:sz w:val="24"/>
          <w:szCs w:val="24"/>
          <w:highlight w:val="none"/>
          <w:lang w:eastAsia="en-US"/>
        </w:rPr>
        <w:t xml:space="preserve">等</w:t>
      </w:r>
      <w:r>
        <w:rPr>
          <w:rFonts w:hint="eastAsia" w:ascii="宋体" w:hAnsi="宋体" w:cs="宋体"/>
          <w:color w:val="000000"/>
          <w:sz w:val="24"/>
          <w:szCs w:val="24"/>
          <w:highlight w:val="none"/>
        </w:rPr>
        <w:t xml:space="preserve">，都必须由乙方完成。</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8、项目的验收必须完全满足</w:t>
      </w:r>
      <w:r>
        <w:rPr>
          <w:rFonts w:hint="eastAsia" w:ascii="宋体" w:hAnsi="宋体" w:cs="宋体"/>
          <w:color w:val="000000"/>
          <w:sz w:val="24"/>
          <w:szCs w:val="24"/>
          <w:highlight w:val="none"/>
          <w:lang w:eastAsia="en-US"/>
        </w:rPr>
        <w:t xml:space="preserve">甲方</w:t>
      </w:r>
      <w:r>
        <w:rPr>
          <w:rFonts w:hint="eastAsia" w:ascii="宋体" w:hAnsi="宋体" w:cs="宋体"/>
          <w:color w:val="000000"/>
          <w:sz w:val="24"/>
          <w:szCs w:val="24"/>
          <w:highlight w:val="none"/>
        </w:rPr>
        <w:t xml:space="preserve">医院多院区项目一体化建设集成规范,满足医院信息系统互联互通标准化成熟度标准、高等级电子病历系统功能应用评价标准、科室质量安全数据采集与上报、CA电子签名等，必要时需要满足智慧服务评估、智慧管理评估标准，永久免费开放满足医院临床数据中心建设及临床业务需求所需的数据。</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9、服务期限内，如乙方对本合同约定软件进行任何修正、优化或升级的，则乙方应向甲方提供最新版本。</w:t>
      </w:r>
      <w:r>
        <w:rPr>
          <w:rFonts w:ascii="宋体" w:hAnsi="宋体" w:cs="宋体"/>
          <w:color w:val="000000"/>
          <w:sz w:val="24"/>
          <w:szCs w:val="24"/>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65" w:name="_Toc6464"/>
      <w:r>
        <w:rPr>
          <w:rFonts w:hint="eastAsia" w:ascii="宋体" w:hAnsi="宋体" w:cs="宋体"/>
          <w:b/>
          <w:bCs/>
          <w:color w:val="000000"/>
          <w:sz w:val="24"/>
          <w:szCs w:val="24"/>
          <w:highlight w:val="none"/>
        </w:rPr>
        <w:t xml:space="preserve">九、甲乙双方的违约责任</w:t>
      </w:r>
      <w:bookmarkEnd w:id="465"/>
      <w:r>
        <w:rPr>
          <w:rFonts w:ascii="宋体" w:hAnsi="宋体" w:cs="宋体"/>
          <w:b/>
          <w:bCs/>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1、乙方未按合同规定的质量、数量要求交付，甲方有权拒收，由此造成的损失由乙方赔偿，并按合同</w:t>
      </w:r>
      <w:r>
        <w:rPr>
          <w:rFonts w:hint="eastAsia" w:ascii="宋体" w:hAnsi="宋体" w:cs="宋体"/>
          <w:color w:val="000000"/>
          <w:sz w:val="24"/>
          <w:szCs w:val="24"/>
          <w:highlight w:val="none"/>
          <w:lang w:eastAsia="en-US"/>
        </w:rPr>
        <w:t xml:space="preserve">总</w:t>
      </w:r>
      <w:r>
        <w:rPr>
          <w:rFonts w:hint="eastAsia" w:ascii="宋体" w:hAnsi="宋体" w:cs="宋体"/>
          <w:color w:val="000000"/>
          <w:sz w:val="24"/>
          <w:szCs w:val="24"/>
          <w:highlight w:val="none"/>
        </w:rPr>
        <w:t xml:space="preserve">价的百分之十赔偿违约金。</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2、乙方逾期交付（包括整修、返工、补交或由甲方提出更改、乙方承诺，但未在承诺的工期内完成等）应向甲方偿付违约金，每逾期一天，按合同价格的万分之五偿付违约金。</w:t>
      </w:r>
      <w:r>
        <w:rPr>
          <w:rFonts w:ascii="宋体" w:hAnsi="宋体" w:cs="宋体"/>
          <w:color w:val="000000"/>
          <w:sz w:val="24"/>
          <w:szCs w:val="24"/>
          <w:highlight w:val="none"/>
        </w:rPr>
      </w:r>
      <w:r/>
    </w:p>
    <w:p>
      <w:pPr>
        <w:pStyle w:val="821"/>
        <w:contextualSpacing/>
        <w:ind w:firstLine="480"/>
        <w:jc w:val="left"/>
        <w:spacing w:line="360" w:lineRule="auto"/>
        <w:widowControl/>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质保期内乙方接到甲方的故障报修电话，未在30分钟内响应或提供在线支持服务；或虽然响应或提供在线支持服务但2小时内无法排除故障的，导致系统瘫痪，瘫痪每24小时，乙方应支付甲方违约金5000元每次，累加计算。</w:t>
      </w:r>
      <w:r>
        <w:rPr>
          <w:rFonts w:ascii="宋体" w:hAnsi="宋体" w:cs="宋体"/>
          <w:color w:val="000000"/>
          <w:sz w:val="24"/>
          <w:szCs w:val="24"/>
          <w:highlight w:val="none"/>
        </w:rPr>
      </w:r>
      <w:r/>
    </w:p>
    <w:p>
      <w:pPr>
        <w:pStyle w:val="821"/>
        <w:contextualSpacing/>
        <w:ind w:firstLine="480"/>
        <w:jc w:val="left"/>
        <w:spacing w:line="360" w:lineRule="auto"/>
        <w:widowControl/>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4、由于系统漏洞造成的损失由乙方全权负责。</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双方应严格按照法律规定及协议约定履行义务，当事人一方不履行合作协议义务或者履行义务不符合约定的，履约一方有权要求违约方承担继续履行、采取补救措施或者赔偿损失等违约责任。</w:t>
      </w:r>
      <w:r>
        <w:rPr>
          <w:rFonts w:ascii="宋体" w:hAnsi="宋体" w:cs="宋体"/>
          <w:color w:val="000000"/>
          <w:sz w:val="24"/>
          <w:szCs w:val="24"/>
          <w:highlight w:val="none"/>
        </w:rPr>
      </w:r>
      <w:r/>
    </w:p>
    <w:p>
      <w:pPr>
        <w:pStyle w:val="821"/>
        <w:ind w:firstLine="482"/>
        <w:jc w:val="left"/>
        <w:spacing w:line="360" w:lineRule="auto"/>
        <w:rPr>
          <w:rFonts w:ascii="宋体" w:hAnsi="宋体" w:cs="宋体"/>
          <w:b/>
          <w:color w:val="000000"/>
          <w:sz w:val="24"/>
          <w:szCs w:val="24"/>
          <w:highlight w:val="none"/>
        </w:rPr>
        <w:outlineLvl w:val="0"/>
      </w:pPr>
      <w:r/>
      <w:bookmarkStart w:id="466" w:name="_Toc1613"/>
      <w:r>
        <w:rPr>
          <w:rFonts w:hint="eastAsia" w:ascii="宋体" w:hAnsi="宋体" w:cs="宋体"/>
          <w:b/>
          <w:color w:val="000000"/>
          <w:sz w:val="24"/>
          <w:szCs w:val="24"/>
          <w:highlight w:val="none"/>
        </w:rPr>
        <w:t xml:space="preserve">十、合同终止</w:t>
      </w:r>
      <w:bookmarkEnd w:id="466"/>
      <w:r>
        <w:rPr>
          <w:rFonts w:ascii="宋体" w:hAnsi="宋体" w:cs="宋体"/>
          <w:b/>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出现下列情况之一的，合同将终止：</w:t>
      </w:r>
      <w:r>
        <w:rPr>
          <w:rFonts w:ascii="宋体" w:hAnsi="宋体" w:cs="宋体"/>
          <w:color w:val="000000"/>
          <w:sz w:val="24"/>
          <w:szCs w:val="24"/>
          <w:highlight w:val="none"/>
        </w:rPr>
      </w:r>
      <w:r/>
    </w:p>
    <w:p>
      <w:pPr>
        <w:pStyle w:val="821"/>
        <w:contextualSpacing/>
        <w:ind w:firstLine="480"/>
        <w:jc w:val="left"/>
        <w:spacing w:line="360" w:lineRule="auto"/>
        <w:widowControl/>
        <w:tabs>
          <w:tab w:val="left" w:pos="0" w:leader="none"/>
        </w:tabs>
        <w:rPr>
          <w:rFonts w:ascii="宋体" w:hAnsi="宋体" w:cs="宋体"/>
          <w:color w:val="000000"/>
          <w:highlight w:val="none"/>
        </w:rPr>
      </w:pPr>
      <w:r>
        <w:rPr>
          <w:rFonts w:hint="eastAsia" w:ascii="宋体" w:hAnsi="宋体" w:cs="宋体"/>
          <w:color w:val="000000"/>
          <w:sz w:val="24"/>
          <w:szCs w:val="24"/>
          <w:highlight w:val="none"/>
        </w:rPr>
        <w:t xml:space="preserve">1、合同履行完毕、权利义务关系消灭的；</w:t>
      </w:r>
      <w:r>
        <w:rPr>
          <w:rFonts w:ascii="宋体" w:hAnsi="宋体" w:cs="宋体"/>
          <w:color w:val="000000"/>
          <w:highlight w:val="none"/>
        </w:rPr>
      </w:r>
      <w:r/>
    </w:p>
    <w:p>
      <w:pPr>
        <w:pStyle w:val="821"/>
        <w:contextualSpacing/>
        <w:ind w:firstLine="480"/>
        <w:jc w:val="left"/>
        <w:spacing w:line="360" w:lineRule="auto"/>
        <w:widowControl/>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2、如工期逾期超30日，甲方有权解除合同，合同自通知到达乙方时解除。乙方应退还甲方已经支付的款项及利息，承担本合同违约责任并赔偿给甲方造成的全部损失。</w:t>
      </w:r>
      <w:r>
        <w:rPr>
          <w:rFonts w:ascii="宋体" w:hAnsi="宋体" w:cs="宋体"/>
          <w:color w:val="000000"/>
          <w:sz w:val="24"/>
          <w:szCs w:val="24"/>
          <w:highlight w:val="none"/>
        </w:rPr>
      </w:r>
      <w:r/>
    </w:p>
    <w:p>
      <w:pPr>
        <w:pStyle w:val="821"/>
        <w:ind w:firstLine="480"/>
        <w:jc w:val="left"/>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3、系统漏洞造成损失金额</w:t>
      </w:r>
      <w:r>
        <w:rPr>
          <w:rFonts w:hint="eastAsia" w:ascii="宋体" w:hAnsi="宋体" w:cs="宋体"/>
          <w:color w:val="000000"/>
          <w:sz w:val="24"/>
          <w:szCs w:val="24"/>
          <w:highlight w:val="none"/>
          <w:lang w:eastAsia="en-US"/>
        </w:rPr>
        <w:t xml:space="preserve">超过</w:t>
      </w:r>
      <w:r>
        <w:rPr>
          <w:rFonts w:ascii="宋体" w:hAnsi="宋体" w:cs="宋体"/>
          <w:color w:val="000000"/>
          <w:sz w:val="24"/>
          <w:szCs w:val="24"/>
          <w:highlight w:val="none"/>
          <w:lang w:eastAsia="en-US"/>
        </w:rPr>
        <w:t xml:space="preserve">5000</w:t>
      </w:r>
      <w:r>
        <w:rPr>
          <w:rFonts w:hint="eastAsia" w:ascii="宋体" w:hAnsi="宋体" w:cs="宋体"/>
          <w:color w:val="000000"/>
          <w:sz w:val="24"/>
          <w:szCs w:val="24"/>
          <w:highlight w:val="none"/>
          <w:lang w:eastAsia="en-US"/>
        </w:rPr>
        <w:t xml:space="preserve">元</w:t>
      </w:r>
      <w:r>
        <w:rPr>
          <w:rFonts w:hint="eastAsia" w:ascii="宋体" w:hAnsi="宋体" w:cs="宋体"/>
          <w:color w:val="000000"/>
          <w:sz w:val="24"/>
          <w:szCs w:val="24"/>
          <w:highlight w:val="none"/>
        </w:rPr>
        <w:t xml:space="preserve">，乙方需赔偿给甲方造成的全部损失，</w:t>
      </w:r>
      <w:r>
        <w:rPr>
          <w:rFonts w:hint="eastAsia" w:ascii="宋体" w:hAnsi="宋体" w:cs="宋体"/>
          <w:color w:val="000000"/>
          <w:sz w:val="24"/>
          <w:szCs w:val="24"/>
          <w:highlight w:val="none"/>
          <w:lang w:eastAsia="en-US"/>
        </w:rPr>
        <w:t xml:space="preserve">包括但不限于甲方因此支付的律师费、诉讼费、交通费等一切费用。</w:t>
      </w:r>
      <w:r>
        <w:rPr>
          <w:rFonts w:hint="eastAsia" w:ascii="宋体" w:hAnsi="宋体" w:cs="宋体"/>
          <w:color w:val="000000"/>
          <w:sz w:val="24"/>
          <w:szCs w:val="24"/>
          <w:highlight w:val="none"/>
        </w:rPr>
        <w:t xml:space="preserve">甲方有权终止合同，同时保留进一步追究乙方行政、法律责任的权利。</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4、国家法律、法规、条例进行调整，禁止本合同延续的；或合同一方被国家执法机关处罚、查封关闭的；</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5、一方严重违约（如乙方逾期供货、质量低下导致甲方使用中存在安全风险、以及可能会造成甲方其他严重后果）的；</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6、发生严重纠纷、事故，影响医疗秩序的或存在严重纠纷、医疗事故隐患的，以及其他严重影响医院声誉情况的；</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7、其他国家法律、法规规定的或经双方共同认可的其他可终止合同情况。</w:t>
      </w:r>
      <w:r>
        <w:rPr>
          <w:rFonts w:ascii="宋体" w:hAnsi="宋体" w:cs="宋体"/>
          <w:color w:val="000000"/>
          <w:sz w:val="24"/>
          <w:szCs w:val="24"/>
          <w:highlight w:val="none"/>
        </w:rPr>
      </w:r>
      <w:r/>
    </w:p>
    <w:p>
      <w:pPr>
        <w:pStyle w:val="821"/>
        <w:ind w:firstLine="482"/>
        <w:jc w:val="left"/>
        <w:spacing w:line="360" w:lineRule="auto"/>
        <w:widowControl/>
        <w:rPr>
          <w:rFonts w:ascii="宋体" w:hAnsi="宋体" w:cs="宋体"/>
          <w:b/>
          <w:bCs/>
          <w:color w:val="000000"/>
          <w:sz w:val="24"/>
          <w:szCs w:val="24"/>
          <w:highlight w:val="none"/>
        </w:rPr>
        <w:outlineLvl w:val="0"/>
      </w:pPr>
      <w:r/>
      <w:bookmarkStart w:id="467" w:name="_Toc24536"/>
      <w:r>
        <w:rPr>
          <w:rFonts w:hint="eastAsia" w:ascii="宋体" w:hAnsi="宋体" w:cs="宋体"/>
          <w:b/>
          <w:bCs/>
          <w:color w:val="000000"/>
          <w:sz w:val="24"/>
          <w:szCs w:val="24"/>
          <w:highlight w:val="none"/>
        </w:rPr>
        <w:t xml:space="preserve">十一、软件知识产权及专利权：</w:t>
      </w:r>
      <w:bookmarkEnd w:id="467"/>
      <w:r>
        <w:rPr>
          <w:rFonts w:ascii="宋体" w:hAnsi="宋体" w:cs="宋体"/>
          <w:b/>
          <w:bCs/>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1、本合同中所销售软件的所有著作权或其他知识产权应归乙方所有。</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2、在任何情况下，甲方不得自行或授权任何第三方，采用反向工程、反汇编、反编译、反向转换或其他手段，对系统进行解码或类似行为。</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3、如果甲方违反本条约定或以其他任何方式侵犯乙方知识产权或有其他违反本合同的行为，乙方有权立即解除本合同，并要求甲方赔偿所有因此造成的直接损失和损害。</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4、乙方应保证甲方在使用该平台时不受第三方提出侵犯专利权、知识产权或工业设计权的指控。如果任何第三方提出侵权指控，乙方须与第三方交涉并承担可能发生的一切法律责任和费用，</w:t>
      </w:r>
      <w:r>
        <w:rPr>
          <w:rFonts w:hint="eastAsia" w:ascii="宋体" w:hAnsi="宋体" w:cs="宋体"/>
          <w:color w:val="000000"/>
          <w:sz w:val="24"/>
          <w:szCs w:val="24"/>
          <w:highlight w:val="none"/>
          <w:lang w:eastAsia="en-US"/>
        </w:rPr>
        <w:t xml:space="preserve">包括但不限于甲方因此支付的律师费、诉讼费、交通费等一切费用。</w:t>
      </w:r>
      <w:r>
        <w:rPr>
          <w:rFonts w:ascii="宋体" w:hAnsi="宋体" w:cs="宋体"/>
          <w:color w:val="000000"/>
          <w:sz w:val="24"/>
          <w:szCs w:val="24"/>
          <w:highlight w:val="none"/>
        </w:rPr>
      </w:r>
      <w:r/>
    </w:p>
    <w:p>
      <w:pPr>
        <w:pStyle w:val="821"/>
        <w:ind w:firstLine="482"/>
        <w:jc w:val="left"/>
        <w:spacing w:line="360" w:lineRule="auto"/>
        <w:widowControl/>
        <w:rPr>
          <w:rFonts w:ascii="宋体" w:hAnsi="宋体" w:cs="宋体"/>
          <w:b/>
          <w:bCs/>
          <w:color w:val="000000"/>
          <w:sz w:val="24"/>
          <w:szCs w:val="24"/>
          <w:highlight w:val="none"/>
        </w:rPr>
        <w:outlineLvl w:val="0"/>
      </w:pPr>
      <w:r/>
      <w:bookmarkStart w:id="468" w:name="_Toc13269"/>
      <w:r>
        <w:rPr>
          <w:rFonts w:hint="eastAsia" w:ascii="宋体" w:hAnsi="宋体" w:cs="宋体"/>
          <w:b/>
          <w:bCs/>
          <w:color w:val="000000"/>
          <w:sz w:val="24"/>
          <w:szCs w:val="24"/>
          <w:highlight w:val="none"/>
        </w:rPr>
        <w:t xml:space="preserve">十二、保密和双方承诺：</w:t>
      </w:r>
      <w:bookmarkEnd w:id="468"/>
      <w:r>
        <w:rPr>
          <w:rFonts w:ascii="宋体" w:hAnsi="宋体" w:cs="宋体"/>
          <w:b/>
          <w:bCs/>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1、甲方承诺，其有充分资格、行为能力及权限签订本合同，并将按照本协议履行义务；乙方承诺拥有出售的系统的所有权、知识产权及提供本合同项下相关服务的权利。</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甲方同意就系统、以及甲方在本合同项下获得的所有乙方技术和业务信息，均保持秘密并确保其雇员对其保持秘密。甲方同意采取一切适当措施以防止对系统的窃取、非授权使用、复制或者再生产。本条约定的保密等相关义务应当在本合同的期间内及终止后一直有效。</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3、乙方承诺做好甲方数据保密工作，不得将甲方的医疗信息、患者信息、药品信息等数据泄漏，如发现</w:t>
      </w:r>
      <w:r>
        <w:rPr>
          <w:rFonts w:hint="eastAsia" w:ascii="宋体" w:hAnsi="宋体" w:cs="宋体"/>
          <w:color w:val="000000"/>
          <w:sz w:val="24"/>
          <w:szCs w:val="24"/>
          <w:highlight w:val="none"/>
          <w:lang w:eastAsia="en-US"/>
        </w:rPr>
        <w:t xml:space="preserve">泄漏</w:t>
      </w:r>
      <w:r>
        <w:rPr>
          <w:rFonts w:hint="eastAsia" w:ascii="宋体" w:hAnsi="宋体" w:cs="宋体"/>
          <w:color w:val="000000"/>
          <w:sz w:val="24"/>
          <w:szCs w:val="24"/>
          <w:highlight w:val="none"/>
        </w:rPr>
        <w:t xml:space="preserve">但未造成损失的，甲方有权向乙方要求赔偿违约金2万元每次，累加计算；如乙方泄漏且造成</w:t>
      </w:r>
      <w:r>
        <w:rPr>
          <w:rFonts w:hint="eastAsia" w:ascii="宋体" w:hAnsi="宋体" w:cs="宋体"/>
          <w:color w:val="000000"/>
          <w:sz w:val="24"/>
          <w:szCs w:val="24"/>
          <w:highlight w:val="none"/>
          <w:lang w:eastAsia="en-US"/>
        </w:rPr>
        <w:t xml:space="preserve">损害</w:t>
      </w:r>
      <w:r>
        <w:rPr>
          <w:rFonts w:hint="eastAsia" w:ascii="宋体" w:hAnsi="宋体" w:cs="宋体"/>
          <w:color w:val="000000"/>
          <w:sz w:val="24"/>
          <w:szCs w:val="24"/>
          <w:highlight w:val="none"/>
        </w:rPr>
        <w:t xml:space="preserve">后果的，</w:t>
      </w:r>
      <w:r>
        <w:rPr>
          <w:rFonts w:hint="eastAsia" w:ascii="宋体" w:hAnsi="宋体" w:cs="宋体"/>
          <w:color w:val="000000"/>
          <w:sz w:val="24"/>
          <w:szCs w:val="24"/>
          <w:highlight w:val="none"/>
          <w:lang w:eastAsia="en-US"/>
        </w:rPr>
        <w:t xml:space="preserve">所有责任均</w:t>
      </w:r>
      <w:r>
        <w:rPr>
          <w:rFonts w:hint="eastAsia" w:ascii="宋体" w:hAnsi="宋体" w:cs="宋体"/>
          <w:color w:val="000000"/>
          <w:sz w:val="24"/>
          <w:szCs w:val="24"/>
          <w:highlight w:val="none"/>
        </w:rPr>
        <w:t xml:space="preserve">由乙方</w:t>
      </w:r>
      <w:r>
        <w:rPr>
          <w:rFonts w:hint="eastAsia" w:ascii="宋体" w:hAnsi="宋体" w:cs="宋体"/>
          <w:color w:val="000000"/>
          <w:sz w:val="24"/>
          <w:szCs w:val="24"/>
          <w:highlight w:val="none"/>
          <w:lang w:eastAsia="en-US"/>
        </w:rPr>
        <w:t xml:space="preserve">自行承担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en-US"/>
        </w:rPr>
        <w:t xml:space="preserve">包括但不限于甲方因此支付的律师费、诉讼费、交通费等一切费用。</w:t>
      </w:r>
      <w:r>
        <w:rPr>
          <w:rFonts w:hint="eastAsia" w:ascii="宋体" w:hAnsi="宋体" w:cs="宋体"/>
          <w:color w:val="000000"/>
          <w:sz w:val="24"/>
          <w:szCs w:val="24"/>
          <w:highlight w:val="none"/>
        </w:rPr>
        <w:t xml:space="preserve">如触犯法律的，则负相应法律责任。</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4、本条约定的保密等相关义务应当在本合同的期间内及终止后一直有效。</w:t>
      </w:r>
      <w:r>
        <w:rPr>
          <w:rFonts w:ascii="宋体" w:hAnsi="宋体" w:cs="宋体"/>
          <w:color w:val="000000"/>
          <w:sz w:val="24"/>
          <w:szCs w:val="24"/>
          <w:highlight w:val="none"/>
        </w:rPr>
      </w:r>
      <w:r/>
    </w:p>
    <w:p>
      <w:pPr>
        <w:pStyle w:val="821"/>
        <w:ind w:firstLine="482"/>
        <w:jc w:val="left"/>
        <w:spacing w:line="360" w:lineRule="auto"/>
        <w:widowControl/>
        <w:rPr>
          <w:rFonts w:ascii="宋体" w:hAnsi="宋体" w:cs="宋体"/>
          <w:b/>
          <w:color w:val="000000"/>
          <w:sz w:val="24"/>
          <w:szCs w:val="24"/>
          <w:highlight w:val="none"/>
        </w:rPr>
        <w:outlineLvl w:val="0"/>
      </w:pPr>
      <w:r/>
      <w:bookmarkStart w:id="469" w:name="_Toc3574"/>
      <w:r>
        <w:rPr>
          <w:rFonts w:hint="eastAsia" w:ascii="宋体" w:hAnsi="宋体" w:cs="宋体"/>
          <w:b/>
          <w:color w:val="000000"/>
          <w:sz w:val="24"/>
          <w:szCs w:val="24"/>
          <w:highlight w:val="none"/>
        </w:rPr>
        <w:t xml:space="preserve">十三、不可抗力事件处理</w:t>
      </w:r>
      <w:bookmarkEnd w:id="469"/>
      <w:r>
        <w:rPr>
          <w:rFonts w:ascii="宋体" w:hAnsi="宋体" w:cs="宋体"/>
          <w:b/>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1、在合同有效期内，任何一方因不可抗力事件导致不能履行合同，则合同履行期可延长，其延长期与不可抗力影响期相同。</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2、不可抗力事件发生后，应立即通知对方，并寄送有关权威机构出具的证明。</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3、不可抗力事件延续120天以上，双方应通过友好协商，确定是否继续履行合同。</w:t>
      </w:r>
      <w:r>
        <w:rPr>
          <w:rFonts w:ascii="宋体" w:hAnsi="宋体" w:cs="宋体"/>
          <w:color w:val="000000"/>
          <w:sz w:val="24"/>
          <w:szCs w:val="24"/>
          <w:highlight w:val="none"/>
        </w:rPr>
      </w:r>
      <w:r/>
    </w:p>
    <w:p>
      <w:pPr>
        <w:pStyle w:val="821"/>
        <w:ind w:firstLine="482"/>
        <w:jc w:val="left"/>
        <w:spacing w:line="360" w:lineRule="auto"/>
        <w:widowControl/>
        <w:rPr>
          <w:rFonts w:ascii="宋体" w:hAnsi="宋体" w:cs="宋体"/>
          <w:b/>
          <w:color w:val="000000"/>
          <w:sz w:val="24"/>
          <w:szCs w:val="24"/>
          <w:highlight w:val="none"/>
        </w:rPr>
        <w:outlineLvl w:val="0"/>
      </w:pPr>
      <w:r/>
      <w:bookmarkStart w:id="470" w:name="_Toc21883"/>
      <w:r>
        <w:rPr>
          <w:rFonts w:hint="eastAsia" w:ascii="宋体" w:hAnsi="宋体" w:cs="宋体"/>
          <w:b/>
          <w:color w:val="000000"/>
          <w:sz w:val="24"/>
          <w:szCs w:val="24"/>
          <w:highlight w:val="none"/>
        </w:rPr>
        <w:t xml:space="preserve">十四、转包或分包</w:t>
      </w:r>
      <w:bookmarkEnd w:id="470"/>
      <w:r>
        <w:rPr>
          <w:rFonts w:ascii="宋体" w:hAnsi="宋体" w:cs="宋体"/>
          <w:b/>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1、本合同范围内产品或服务，应由乙方直接供应，不得转让第三方供应；</w:t>
      </w:r>
      <w:r>
        <w:rPr>
          <w:rFonts w:ascii="宋体" w:hAnsi="宋体" w:cs="宋体"/>
          <w:color w:val="000000"/>
          <w:sz w:val="24"/>
          <w:szCs w:val="24"/>
          <w:highlight w:val="none"/>
        </w:rPr>
      </w:r>
      <w:r/>
    </w:p>
    <w:p>
      <w:pPr>
        <w:pStyle w:val="82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2、除非得到甲方的书面同意，乙方不得部分分包给他人供应；</w:t>
      </w:r>
      <w:r>
        <w:rPr>
          <w:rFonts w:hint="eastAsia"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3、如有转让和未经甲方</w:t>
      </w:r>
      <w:r>
        <w:rPr>
          <w:rFonts w:hint="eastAsia" w:ascii="宋体" w:hAnsi="宋体" w:cs="宋体"/>
          <w:color w:val="000000"/>
          <w:sz w:val="24"/>
          <w:szCs w:val="24"/>
          <w:highlight w:val="none"/>
          <w:lang w:eastAsia="en-US"/>
        </w:rPr>
        <w:t xml:space="preserve">书面</w:t>
      </w:r>
      <w:r>
        <w:rPr>
          <w:rFonts w:hint="eastAsia" w:ascii="宋体" w:hAnsi="宋体" w:cs="宋体"/>
          <w:color w:val="000000"/>
          <w:sz w:val="24"/>
          <w:szCs w:val="24"/>
          <w:highlight w:val="none"/>
        </w:rPr>
        <w:t xml:space="preserve">同意的分包行为，甲方有权</w:t>
      </w:r>
      <w:r>
        <w:rPr>
          <w:rFonts w:hint="eastAsia" w:ascii="宋体" w:hAnsi="宋体" w:cs="宋体"/>
          <w:color w:val="000000"/>
          <w:sz w:val="24"/>
          <w:szCs w:val="24"/>
          <w:highlight w:val="none"/>
          <w:lang w:eastAsia="en-US"/>
        </w:rPr>
        <w:t xml:space="preserve">单方</w:t>
      </w:r>
      <w:r>
        <w:rPr>
          <w:rFonts w:hint="eastAsia" w:ascii="宋体" w:hAnsi="宋体" w:cs="宋体"/>
          <w:color w:val="000000"/>
          <w:sz w:val="24"/>
          <w:szCs w:val="24"/>
          <w:highlight w:val="none"/>
        </w:rPr>
        <w:t xml:space="preserve">终止合同</w:t>
      </w:r>
      <w:r>
        <w:rPr>
          <w:rFonts w:hint="eastAsia" w:ascii="宋体" w:hAnsi="宋体" w:cs="宋体"/>
          <w:color w:val="000000"/>
          <w:sz w:val="24"/>
          <w:szCs w:val="24"/>
          <w:highlight w:val="none"/>
          <w:lang w:eastAsia="en-US"/>
        </w:rPr>
        <w:t xml:space="preserve">并不承担任何违约责任</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21"/>
        <w:ind w:firstLine="482"/>
        <w:jc w:val="left"/>
        <w:spacing w:line="360" w:lineRule="auto"/>
        <w:widowControl/>
        <w:rPr>
          <w:rFonts w:ascii="宋体" w:hAnsi="宋体" w:cs="宋体"/>
          <w:b/>
          <w:color w:val="000000"/>
          <w:sz w:val="24"/>
          <w:szCs w:val="24"/>
          <w:highlight w:val="none"/>
        </w:rPr>
        <w:outlineLvl w:val="0"/>
      </w:pPr>
      <w:r/>
      <w:bookmarkStart w:id="471" w:name="_Toc13478"/>
      <w:r>
        <w:rPr>
          <w:rFonts w:hint="eastAsia" w:ascii="宋体" w:hAnsi="宋体" w:cs="宋体"/>
          <w:b/>
          <w:color w:val="000000"/>
          <w:sz w:val="24"/>
          <w:szCs w:val="24"/>
          <w:highlight w:val="none"/>
        </w:rPr>
        <w:t xml:space="preserve">十五、争议解决</w:t>
      </w:r>
      <w:bookmarkEnd w:id="471"/>
      <w:r>
        <w:rPr>
          <w:rFonts w:ascii="宋体" w:hAnsi="宋体" w:cs="宋体"/>
          <w:b/>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因履行本合同发生的争议，由甲乙双方协商解决，协商不成，甲乙任何一方可依法向甲方所在地人民法院起诉。</w:t>
      </w:r>
      <w:r>
        <w:rPr>
          <w:rFonts w:ascii="宋体" w:hAnsi="宋体" w:cs="宋体"/>
          <w:color w:val="000000"/>
          <w:sz w:val="24"/>
          <w:szCs w:val="24"/>
          <w:highlight w:val="none"/>
        </w:rPr>
      </w:r>
      <w:r/>
    </w:p>
    <w:p>
      <w:pPr>
        <w:pStyle w:val="821"/>
        <w:ind w:firstLine="482"/>
        <w:jc w:val="left"/>
        <w:spacing w:line="360" w:lineRule="auto"/>
        <w:rPr>
          <w:rFonts w:ascii="宋体" w:hAnsi="宋体" w:cs="宋体"/>
          <w:b/>
          <w:bCs/>
          <w:color w:val="000000"/>
          <w:sz w:val="24"/>
          <w:szCs w:val="24"/>
          <w:highlight w:val="none"/>
        </w:rPr>
        <w:outlineLvl w:val="0"/>
      </w:pPr>
      <w:r/>
      <w:bookmarkStart w:id="472" w:name="_Toc4003"/>
      <w:r>
        <w:rPr>
          <w:rFonts w:hint="eastAsia" w:ascii="宋体" w:hAnsi="宋体" w:cs="宋体"/>
          <w:b/>
          <w:bCs/>
          <w:color w:val="000000"/>
          <w:sz w:val="24"/>
          <w:szCs w:val="24"/>
          <w:highlight w:val="none"/>
        </w:rPr>
        <w:t xml:space="preserve">十六、合同的生效</w:t>
      </w:r>
      <w:bookmarkEnd w:id="472"/>
      <w:r>
        <w:rPr>
          <w:rFonts w:ascii="宋体" w:hAnsi="宋体" w:cs="宋体"/>
          <w:b/>
          <w:bCs/>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outlineLvl w:val="0"/>
      </w:pPr>
      <w:r/>
      <w:bookmarkStart w:id="473" w:name="_Toc27023"/>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合同经双方法定代表人或授权委托代表人签字盖章后生效。</w:t>
      </w:r>
      <w:bookmarkEnd w:id="473"/>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outlineLvl w:val="0"/>
      </w:pPr>
      <w:r/>
      <w:bookmarkStart w:id="474" w:name="_Toc28426"/>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、合同组成</w:t>
      </w:r>
      <w:bookmarkEnd w:id="474"/>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下列文件为本合同不可分割部分：</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① 合同书；</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② 招标文件要求及其附件；</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③ 乙方递交的投标文件；</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④ 乙方在投标过程中所作的承诺、声明、书面澄清等；</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⑤ 合同附件。</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在合同订立及履行过程中形成的与合同有关的文件均构成合同文件组成部分。</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上述各项合同文件包括合同当事人就该项合同文件所作出的补充和修改，具有同等法律效力，属于同一类内容的文件，如存在歧义或相互冲突的条款，应以最新签署的为准。</w:t>
      </w:r>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outlineLvl w:val="0"/>
      </w:pPr>
      <w:r/>
      <w:bookmarkStart w:id="475" w:name="_Toc469"/>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、本合同未尽事宜，遵照《中华人民共和国民法典》有关条文执行。</w:t>
      </w:r>
      <w:bookmarkEnd w:id="475"/>
      <w:r>
        <w:rPr>
          <w:rFonts w:ascii="宋体" w:hAnsi="宋体" w:cs="宋体"/>
          <w:color w:val="000000"/>
          <w:sz w:val="24"/>
          <w:szCs w:val="24"/>
          <w:highlight w:val="none"/>
        </w:rPr>
      </w:r>
      <w:r/>
    </w:p>
    <w:p>
      <w:pPr>
        <w:pStyle w:val="821"/>
        <w:ind w:firstLine="480"/>
        <w:jc w:val="left"/>
        <w:spacing w:line="360" w:lineRule="auto"/>
        <w:widowControl/>
        <w:rPr>
          <w:rFonts w:ascii="宋体" w:hAnsi="宋体" w:cs="宋体"/>
          <w:color w:val="000000"/>
          <w:sz w:val="24"/>
          <w:szCs w:val="24"/>
          <w:highlight w:val="none"/>
        </w:rPr>
        <w:outlineLvl w:val="0"/>
      </w:pPr>
      <w:r/>
      <w:bookmarkStart w:id="476" w:name="_Toc15784"/>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、本合同正本一式肆份，具有同等法律效力，甲方执叁份，乙方执壹份。</w:t>
      </w:r>
      <w:bookmarkEnd w:id="476"/>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合同签署地：连云港市</w:t>
      </w:r>
      <w:r>
        <w:rPr>
          <w:rFonts w:hint="eastAsia" w:ascii="宋体" w:hAnsi="宋体" w:cs="宋体"/>
          <w:color w:val="000000"/>
          <w:sz w:val="24"/>
          <w:szCs w:val="24"/>
          <w:highlight w:val="none"/>
          <w:lang w:eastAsia="en-US"/>
        </w:rPr>
        <w:t xml:space="preserve">海州区</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甲方：连云港市第一人民医院         乙方：     </w:t>
      </w:r>
      <w:r>
        <w:rPr>
          <w:rFonts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法定（授权）代表人：                法定（授权）代表人：</w:t>
      </w:r>
      <w:r>
        <w:rPr>
          <w:rFonts w:ascii="宋体" w:hAnsi="宋体" w:cs="宋体"/>
          <w:color w:val="000000"/>
          <w:sz w:val="24"/>
          <w:szCs w:val="24"/>
          <w:highlight w:val="none"/>
        </w:rPr>
      </w:r>
      <w:r/>
    </w:p>
    <w:p>
      <w:pPr>
        <w:pStyle w:val="82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签约日期：    年     月    日       签约日期：      年    月    日</w:t>
      </w:r>
      <w:r>
        <w:rPr>
          <w:rFonts w:hint="eastAsia" w:ascii="宋体" w:hAnsi="宋体" w:cs="宋体"/>
          <w:color w:val="000000"/>
          <w:sz w:val="24"/>
          <w:szCs w:val="24"/>
          <w:highlight w:val="none"/>
        </w:rPr>
      </w:r>
      <w:r/>
    </w:p>
    <w:p>
      <w:pPr>
        <w:pStyle w:val="821"/>
        <w:ind w:firstLine="480"/>
        <w:jc w:val="left"/>
        <w:spacing w:line="360" w:lineRule="auto"/>
        <w:rPr>
          <w:rFonts w:ascii="宋体" w:hAnsi="宋体" w:cs="宋体"/>
          <w:color w:val="000000"/>
          <w:sz w:val="24"/>
          <w:szCs w:val="24"/>
          <w:highlight w:val="none"/>
        </w:rPr>
        <w:outlineLvl w:val="0"/>
      </w:pPr>
      <w:r/>
      <w:bookmarkStart w:id="477" w:name="_Toc21445"/>
      <w:r>
        <w:rPr>
          <w:rFonts w:hint="eastAsia" w:ascii="宋体" w:hAnsi="宋体" w:cs="宋体"/>
          <w:color w:val="000000"/>
          <w:sz w:val="24"/>
          <w:szCs w:val="24"/>
          <w:highlight w:val="none"/>
        </w:rPr>
        <w:t xml:space="preserve">附件：系统软件功能清单</w:t>
      </w:r>
      <w:bookmarkEnd w:id="477"/>
      <w:r>
        <w:rPr>
          <w:rFonts w:ascii="宋体" w:hAnsi="宋体" w:cs="宋体"/>
          <w:color w:val="000000"/>
          <w:sz w:val="24"/>
          <w:szCs w:val="24"/>
          <w:highlight w:val="none"/>
        </w:rPr>
      </w:r>
      <w:r/>
    </w:p>
    <w:p>
      <w:pPr>
        <w:pStyle w:val="846"/>
        <w:rPr>
          <w:color w:val="000000"/>
          <w:highlight w:val="none"/>
        </w:rPr>
      </w:pPr>
      <w:r>
        <w:rPr>
          <w:color w:val="000000"/>
          <w:highlight w:val="none"/>
        </w:rPr>
      </w:r>
      <w:r/>
    </w:p>
    <w:p>
      <w:pPr>
        <w:pStyle w:val="821"/>
        <w:rPr>
          <w:color w:val="000000"/>
          <w:highlight w:val="none"/>
        </w:rPr>
      </w:pPr>
      <w:r>
        <w:rPr>
          <w:color w:val="000000"/>
          <w:highlight w:val="none"/>
        </w:rPr>
      </w:r>
      <w:r/>
    </w:p>
    <w:p>
      <w:pPr>
        <w:pStyle w:val="821"/>
        <w:rPr>
          <w:color w:val="000000"/>
          <w:highlight w:val="none"/>
        </w:rPr>
      </w:pPr>
      <w:r>
        <w:rPr>
          <w:color w:val="000000"/>
          <w:highlight w:val="none"/>
        </w:rPr>
      </w:r>
      <w:r/>
    </w:p>
    <w:p>
      <w:pPr>
        <w:pStyle w:val="821"/>
        <w:rPr>
          <w:color w:val="000000"/>
          <w:highlight w:val="none"/>
        </w:rPr>
      </w:pPr>
      <w:r>
        <w:rPr>
          <w:color w:val="000000"/>
          <w:highlight w:val="none"/>
        </w:rPr>
      </w:r>
      <w:r/>
    </w:p>
    <w:p>
      <w:pPr>
        <w:pStyle w:val="821"/>
        <w:jc w:val="center"/>
        <w:spacing w:before="120" w:after="120" w:line="0" w:lineRule="atLeast"/>
        <w:rPr>
          <w:rFonts w:hint="eastAsia" w:ascii="宋体" w:hAnsi="宋体" w:cs="Courier New"/>
          <w:color w:val="000000"/>
          <w:sz w:val="24"/>
          <w:szCs w:val="24"/>
          <w:highlight w:val="none"/>
        </w:rPr>
        <w:outlineLvl w:val="0"/>
      </w:pPr>
      <w:r/>
      <w:bookmarkEnd w:id="435"/>
      <w:r/>
      <w:bookmarkEnd w:id="436"/>
      <w:r/>
      <w:bookmarkEnd w:id="437"/>
      <w:r/>
      <w:bookmarkEnd w:id="438"/>
      <w:r/>
      <w:bookmarkEnd w:id="439"/>
      <w:r/>
      <w:bookmarkStart w:id="478" w:name="_Toc546"/>
      <w:r/>
      <w:bookmarkStart w:id="479" w:name="_Toc26554093"/>
      <w:r/>
      <w:bookmarkStart w:id="480" w:name="_Toc120614281"/>
      <w:r/>
      <w:bookmarkStart w:id="481" w:name="_Toc49090575"/>
      <w:r>
        <w:rPr>
          <w:rFonts w:hint="eastAsia" w:ascii="黑体" w:hAnsi="Courier New" w:eastAsia="黑体" w:cs="Courier New"/>
          <w:bCs/>
          <w:color w:val="000000"/>
          <w:sz w:val="44"/>
          <w:szCs w:val="21"/>
          <w:highlight w:val="none"/>
        </w:rPr>
        <w:t xml:space="preserve">第四章 采购需求</w:t>
      </w:r>
      <w:bookmarkEnd w:id="478"/>
      <w:r>
        <w:rPr>
          <w:rFonts w:hint="eastAsia" w:ascii="宋体" w:hAnsi="宋体" w:cs="Courier New"/>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0"/>
      </w:pPr>
      <w:r/>
      <w:bookmarkStart w:id="482" w:name="_Toc31908"/>
      <w:r>
        <w:rPr>
          <w:rFonts w:hint="eastAsia" w:ascii="宋体" w:hAnsi="宋体"/>
          <w:color w:val="000000"/>
          <w:sz w:val="24"/>
          <w:szCs w:val="24"/>
          <w:highlight w:val="none"/>
        </w:rPr>
        <w:t xml:space="preserve">一、项目属性:货物类项目。采购标的对应的中小企业划分标准所属行业详见货物采购清单。</w:t>
      </w:r>
      <w:bookmarkEnd w:id="482"/>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1、本项目需求中标注★号的部分为实质性要求和条件，投标人必须作出满足或者优于原要求和条件的响应，否则投标无效。</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olor w:val="000000"/>
          <w:sz w:val="24"/>
          <w:szCs w:val="24"/>
          <w:highlight w:val="none"/>
        </w:rPr>
      </w:r>
      <w:r/>
    </w:p>
    <w:p>
      <w:pPr>
        <w:pStyle w:val="821"/>
        <w:ind w:firstLine="482"/>
        <w:spacing w:line="360" w:lineRule="auto"/>
        <w:rPr>
          <w:rFonts w:ascii="宋体" w:hAnsi="宋体"/>
          <w:b/>
          <w:bCs/>
          <w:color w:val="000000"/>
          <w:sz w:val="24"/>
          <w:szCs w:val="24"/>
          <w:highlight w:val="none"/>
          <w:u w:val="single"/>
        </w:rPr>
      </w:pPr>
      <w:r>
        <w:rPr>
          <w:rFonts w:hint="eastAsia" w:ascii="宋体" w:hAnsi="宋体" w:cs="宋体"/>
          <w:b/>
          <w:bCs/>
          <w:color w:val="000000"/>
          <w:sz w:val="24"/>
          <w:szCs w:val="24"/>
          <w:highlight w:val="none"/>
          <w:u w:val="single"/>
        </w:rPr>
        <w:t xml:space="preserve">本项目核心产品：</w:t>
      </w:r>
      <w:r>
        <w:rPr>
          <w:rFonts w:hint="eastAsia" w:ascii="宋体" w:hAnsi="宋体"/>
          <w:b/>
          <w:bCs/>
          <w:color w:val="000000"/>
          <w:sz w:val="24"/>
          <w:szCs w:val="24"/>
          <w:highlight w:val="none"/>
          <w:u w:val="single"/>
        </w:rPr>
        <w:t xml:space="preserve">病理技术流程管理系统软件</w:t>
      </w:r>
      <w:r>
        <w:rPr>
          <w:rFonts w:ascii="宋体" w:hAnsi="宋体"/>
          <w:b/>
          <w:bCs/>
          <w:color w:val="000000"/>
          <w:sz w:val="24"/>
          <w:szCs w:val="24"/>
          <w:highlight w:val="none"/>
          <w:u w:val="single"/>
        </w:rPr>
      </w:r>
      <w:r/>
    </w:p>
    <w:p>
      <w:pPr>
        <w:pStyle w:val="821"/>
        <w:ind w:firstLine="480"/>
        <w:spacing w:line="360" w:lineRule="auto"/>
        <w:rPr>
          <w:rFonts w:hint="eastAsia" w:ascii="宋体" w:hAnsi="宋体"/>
          <w:color w:val="000000"/>
          <w:sz w:val="24"/>
          <w:szCs w:val="24"/>
          <w:highlight w:val="none"/>
        </w:rPr>
        <w:outlineLvl w:val="0"/>
      </w:pPr>
      <w:r/>
      <w:bookmarkStart w:id="483" w:name="_Toc103953737"/>
      <w:r/>
      <w:bookmarkStart w:id="484" w:name="_Toc13634"/>
      <w:r>
        <w:rPr>
          <w:rFonts w:hint="eastAsia" w:ascii="宋体" w:hAnsi="宋体"/>
          <w:color w:val="000000"/>
          <w:sz w:val="24"/>
          <w:szCs w:val="24"/>
          <w:highlight w:val="none"/>
        </w:rPr>
        <w:t xml:space="preserve">二、项目</w:t>
      </w:r>
      <w:bookmarkEnd w:id="483"/>
      <w:r>
        <w:rPr>
          <w:rFonts w:hint="eastAsia" w:ascii="宋体" w:hAnsi="宋体"/>
          <w:color w:val="000000"/>
          <w:sz w:val="24"/>
          <w:szCs w:val="24"/>
          <w:highlight w:val="none"/>
        </w:rPr>
        <w:t xml:space="preserve">背景</w:t>
      </w:r>
      <w:bookmarkEnd w:id="484"/>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病理技术全流程系统为病理科提供一套先进完整的病理技术核心流程二维码管理方案，覆盖取材、脱水、包埋、切片、染色、免疫组化、细胞学、交接等关键环节。系统通过独立工位工作站与二维码识别技术，实现制片流程的精准记录与实时监控，结合状态追踪、进度提示和语音播报功能，提升操作准确性与效率。该系统基于CNAS认可标准构建，整合“人机料法环件”全要素管理，支持标准化迎检流程、多级审批与电子化质控，助力病理科建立符合CNAS要求的质量管理体系，并实现与病理系统流程的数据协同，形成从操作到认证的全流程闭环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0"/>
      </w:pPr>
      <w:r/>
      <w:bookmarkStart w:id="485" w:name="_Toc10284"/>
      <w:r>
        <w:rPr>
          <w:rFonts w:hint="eastAsia" w:ascii="宋体" w:hAnsi="宋体"/>
          <w:color w:val="000000"/>
          <w:sz w:val="24"/>
          <w:szCs w:val="24"/>
          <w:highlight w:val="none"/>
        </w:rPr>
        <w:t xml:space="preserve">三、货物清单及需要满足的技术要求</w:t>
      </w:r>
      <w:bookmarkEnd w:id="485"/>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1"/>
      </w:pPr>
      <w:r/>
      <w:bookmarkStart w:id="486" w:name="_Toc31117"/>
      <w:r>
        <w:rPr>
          <w:rFonts w:hint="eastAsia" w:ascii="宋体" w:hAnsi="宋体"/>
          <w:color w:val="000000"/>
          <w:sz w:val="24"/>
          <w:szCs w:val="24"/>
          <w:highlight w:val="none"/>
        </w:rPr>
        <w:t xml:space="preserve">（一）采购清单</w:t>
      </w:r>
      <w:bookmarkEnd w:id="486"/>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13" w:type="dxa"/>
          <w:right w:w="108" w:type="dxa"/>
          <w:bottom w:w="0" w:type="dxa"/>
        </w:tblCellMar>
        <w:tblLook w:val="04A0" w:firstRow="1" w:lastRow="0" w:firstColumn="1" w:lastColumn="0" w:noHBand="0" w:noVBand="1"/>
      </w:tblPr>
      <w:tblGrid>
        <w:gridCol w:w="703"/>
        <w:gridCol w:w="3511"/>
        <w:gridCol w:w="573"/>
        <w:gridCol w:w="970"/>
        <w:gridCol w:w="3240"/>
      </w:tblGrid>
      <w:tr>
        <w:trPr>
          <w:trHeight w:val="549" w:hRule="exact"/>
        </w:trPr>
        <w:tc>
          <w:tcPr>
            <w:tcW w:w="70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货物（标的）名称</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中小企业划分标准所属行业</w:t>
            </w:r>
            <w:r>
              <w:rPr>
                <w:rFonts w:hint="eastAsia" w:ascii="宋体" w:hAnsi="宋体"/>
                <w:color w:val="000000"/>
                <w:sz w:val="24"/>
                <w:szCs w:val="24"/>
                <w:highlight w:val="none"/>
              </w:rPr>
            </w:r>
            <w:r/>
          </w:p>
        </w:tc>
      </w:tr>
      <w:tr>
        <w:trPr>
          <w:trHeight w:val="549" w:hRule="exact"/>
        </w:trPr>
        <w:tc>
          <w:tcPr>
            <w:tcW w:w="70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病理技术流程管理系统软件</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套</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软件和信息技术服务业</w:t>
            </w:r>
            <w:r>
              <w:rPr>
                <w:rFonts w:ascii="宋体" w:hAnsi="宋体"/>
                <w:color w:val="000000"/>
                <w:sz w:val="24"/>
                <w:szCs w:val="24"/>
                <w:highlight w:val="none"/>
              </w:rPr>
            </w:r>
            <w:r/>
          </w:p>
        </w:tc>
      </w:tr>
      <w:tr>
        <w:trPr>
          <w:trHeight w:val="926"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病理实验室标准化管理系统软件</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套</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软件和信息技术服务业</w:t>
            </w:r>
            <w:r>
              <w:rPr>
                <w:rFonts w:hint="eastAsia" w:ascii="宋体" w:hAnsi="宋体"/>
                <w:color w:val="000000"/>
                <w:sz w:val="24"/>
                <w:szCs w:val="24"/>
                <w:highlight w:val="none"/>
              </w:rPr>
            </w:r>
            <w:r/>
          </w:p>
        </w:tc>
      </w:tr>
      <w:tr>
        <w:trPr>
          <w:trHeight w:val="918"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病理玻片智能整板识别系统(</w:t>
            </w:r>
            <w:r>
              <w:rPr>
                <w:rFonts w:hint="eastAsia" w:ascii="宋体" w:hAnsi="宋体"/>
                <w:b/>
                <w:bCs/>
                <w:color w:val="000000"/>
                <w:sz w:val="24"/>
                <w:szCs w:val="24"/>
                <w:highlight w:val="none"/>
              </w:rPr>
              <w:t xml:space="preserve">包括玻片批量识别算法)</w:t>
            </w:r>
            <w:r>
              <w:rPr>
                <w:rFonts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套</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工业</w:t>
            </w:r>
            <w:r>
              <w:rPr>
                <w:rFonts w:hint="eastAsia" w:ascii="宋体" w:hAnsi="宋体" w:eastAsia="宋体"/>
                <w:color w:val="000000"/>
                <w:sz w:val="24"/>
                <w:szCs w:val="24"/>
                <w:highlight w:val="none"/>
                <w:lang w:eastAsia="zh-CN"/>
              </w:rPr>
            </w:r>
            <w:r/>
          </w:p>
        </w:tc>
      </w:tr>
      <w:tr>
        <w:trPr>
          <w:trHeight w:val="546"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触控云屏及支架</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套</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工业</w:t>
            </w:r>
            <w:r>
              <w:rPr>
                <w:rFonts w:ascii="宋体" w:hAnsi="宋体"/>
                <w:color w:val="000000"/>
                <w:sz w:val="24"/>
                <w:szCs w:val="24"/>
                <w:highlight w:val="none"/>
              </w:rPr>
            </w:r>
            <w:r/>
          </w:p>
        </w:tc>
      </w:tr>
      <w:tr>
        <w:trPr>
          <w:trHeight w:val="498"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触控一体机</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台</w:t>
            </w:r>
            <w:r>
              <w:rPr>
                <w:rFonts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工业</w:t>
            </w:r>
            <w:r>
              <w:rPr>
                <w:rFonts w:ascii="宋体" w:hAnsi="宋体"/>
                <w:color w:val="000000"/>
                <w:sz w:val="24"/>
                <w:szCs w:val="24"/>
                <w:highlight w:val="none"/>
              </w:rPr>
            </w:r>
            <w:r/>
          </w:p>
        </w:tc>
      </w:tr>
      <w:tr>
        <w:trPr>
          <w:trHeight w:val="559"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触控一体机支架</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台</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工业</w:t>
            </w:r>
            <w:r>
              <w:rPr>
                <w:rFonts w:hint="eastAsia" w:ascii="宋体" w:hAnsi="宋体"/>
                <w:color w:val="000000"/>
                <w:sz w:val="24"/>
                <w:szCs w:val="24"/>
                <w:highlight w:val="none"/>
              </w:rPr>
            </w:r>
            <w:r/>
          </w:p>
        </w:tc>
      </w:tr>
      <w:tr>
        <w:trPr>
          <w:trHeight w:val="564"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条码扫描枪及支架</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套</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工业</w:t>
            </w:r>
            <w:r>
              <w:rPr>
                <w:rFonts w:hint="eastAsia" w:ascii="宋体" w:hAnsi="宋体"/>
                <w:color w:val="000000"/>
                <w:sz w:val="24"/>
                <w:szCs w:val="24"/>
                <w:highlight w:val="none"/>
              </w:rPr>
            </w:r>
            <w:r/>
          </w:p>
        </w:tc>
      </w:tr>
      <w:tr>
        <w:trPr>
          <w:trHeight w:val="587" w:hRule="exact"/>
        </w:trPr>
        <w:tc>
          <w:tcPr>
            <w:tcW w:w="70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标签打印机</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台</w:t>
            </w:r>
            <w:r>
              <w:rPr>
                <w:rFonts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工业</w:t>
            </w:r>
            <w:r>
              <w:rPr>
                <w:rFonts w:ascii="宋体" w:hAnsi="宋体"/>
                <w:color w:val="000000"/>
                <w:sz w:val="24"/>
                <w:szCs w:val="24"/>
                <w:highlight w:val="none"/>
              </w:rPr>
            </w:r>
            <w:r/>
          </w:p>
        </w:tc>
      </w:tr>
      <w:tr>
        <w:trPr>
          <w:trHeight w:val="587"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bookmarkStart w:id="487" w:name="_Toc17850"/>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高拍仪</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台</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工业</w:t>
            </w:r>
            <w:r>
              <w:rPr>
                <w:rFonts w:hint="eastAsia" w:ascii="宋体" w:hAnsi="宋体"/>
                <w:color w:val="000000"/>
                <w:sz w:val="24"/>
                <w:szCs w:val="24"/>
                <w:highlight w:val="none"/>
              </w:rPr>
            </w:r>
            <w:r/>
          </w:p>
        </w:tc>
      </w:tr>
      <w:tr>
        <w:trPr>
          <w:trHeight w:val="587" w:hRule="exact"/>
        </w:trPr>
        <w:tc>
          <w:tcPr>
            <w:tcW w:w="703" w:type="dxa"/>
            <w:vAlign w:val="center"/>
            <w:textDirection w:val="lrTb"/>
            <w:noWrap w:val="false"/>
          </w:tcPr>
          <w:p>
            <w:pPr>
              <w:pStyle w:val="821"/>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10</w:t>
            </w:r>
            <w:r>
              <w:rPr>
                <w:rFonts w:ascii="宋体" w:hAnsi="宋体"/>
                <w:color w:val="000000"/>
                <w:sz w:val="24"/>
                <w:szCs w:val="24"/>
                <w:highlight w:val="none"/>
              </w:rPr>
            </w:r>
            <w:r/>
          </w:p>
        </w:tc>
        <w:tc>
          <w:tcPr>
            <w:tcW w:w="3511"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ISO 15189咨询服务</w:t>
            </w:r>
            <w:r>
              <w:rPr>
                <w:rFonts w:hint="eastAsia" w:ascii="宋体" w:hAnsi="宋体"/>
                <w:color w:val="000000"/>
                <w:sz w:val="24"/>
                <w:szCs w:val="24"/>
                <w:highlight w:val="none"/>
              </w:rPr>
            </w:r>
            <w:r/>
          </w:p>
        </w:tc>
        <w:tc>
          <w:tcPr>
            <w:tcW w:w="573"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w:t>
            </w:r>
            <w:r>
              <w:rPr>
                <w:rFonts w:hint="eastAsia" w:ascii="宋体" w:hAnsi="宋体"/>
                <w:color w:val="000000"/>
                <w:sz w:val="24"/>
                <w:szCs w:val="24"/>
                <w:highlight w:val="none"/>
              </w:rPr>
            </w:r>
            <w:r/>
          </w:p>
        </w:tc>
        <w:tc>
          <w:tcPr>
            <w:tcW w:w="3240" w:type="dxa"/>
            <w:vAlign w:val="center"/>
            <w:textDirection w:val="lrTb"/>
            <w:noWrap w:val="false"/>
          </w:tcPr>
          <w:p>
            <w:pPr>
              <w:pStyle w:val="821"/>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bl>
    <w:p>
      <w:pPr>
        <w:pStyle w:val="821"/>
        <w:ind w:firstLine="482"/>
        <w:spacing w:line="360" w:lineRule="auto"/>
        <w:rPr>
          <w:rFonts w:hint="eastAsia" w:ascii="宋体" w:hAnsi="宋体"/>
          <w:b/>
          <w:bCs/>
          <w:color w:val="000000"/>
          <w:sz w:val="24"/>
          <w:szCs w:val="24"/>
          <w:highlight w:val="none"/>
        </w:rPr>
        <w:outlineLvl w:val="1"/>
      </w:pPr>
      <w:r>
        <w:rPr>
          <w:rFonts w:hint="eastAsia" w:ascii="宋体" w:hAnsi="宋体"/>
          <w:b/>
          <w:bCs/>
          <w:color w:val="000000"/>
          <w:sz w:val="24"/>
          <w:szCs w:val="24"/>
          <w:highlight w:val="none"/>
        </w:rPr>
        <w:t xml:space="preserve">（二）技术性能及功能参数指标</w:t>
      </w:r>
      <w:bookmarkEnd w:id="487"/>
      <w:r>
        <w:rPr>
          <w:rFonts w:hint="eastAsia" w:ascii="宋体" w:hAnsi="宋体"/>
          <w:b/>
          <w:bCs/>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bookmarkStart w:id="488" w:name="_Toc9266"/>
      <w:r>
        <w:rPr>
          <w:rFonts w:hint="eastAsia" w:ascii="宋体" w:hAnsi="宋体"/>
          <w:b/>
          <w:bCs/>
          <w:color w:val="000000"/>
          <w:sz w:val="24"/>
          <w:szCs w:val="24"/>
          <w:highlight w:val="none"/>
        </w:rPr>
        <w:t xml:space="preserve">1、病理技术流程管理系统软件</w:t>
      </w:r>
      <w:bookmarkEnd w:id="488"/>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技术流程管理系统提供一套完整先进的病理技术核心流程二维码管理解决方案，在病理科取材、脱水、包埋、切片、染色、免疫组化、交接、细胞学等各个技术环节，配备单人操作、各自独立的工位工作站，通过扫描蜡块玻片上的二维码标识，真实、精确记录技术制片流程的原始信息。同时对样本的状态位置、备注信息、质量评价、处理反馈等信息进行实时监控、进度提示和语音播报，帮助病理科技术员实现“一一对应”的病理技术操作体验，在视听结合的系统操作中减少出错风险、提升工作效率，从而实现对病理技术质控工作的完整管理。</w:t>
      </w:r>
      <w:r>
        <w:rPr>
          <w:rFonts w:hint="eastAsia" w:ascii="宋体" w:hAnsi="宋体"/>
          <w:color w:val="000000"/>
          <w:sz w:val="24"/>
          <w:szCs w:val="24"/>
          <w:highlight w:val="none"/>
        </w:rPr>
      </w:r>
      <w:r/>
    </w:p>
    <w:p>
      <w:pPr>
        <w:pStyle w:val="82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1.1接收工作</w:t>
      </w:r>
      <w:r>
        <w:rPr>
          <w:rFonts w:hint="eastAsia" w:ascii="宋体" w:hAnsi="宋体"/>
          <w:b/>
          <w:bCs/>
          <w:color w:val="000000"/>
          <w:sz w:val="24"/>
          <w:szCs w:val="24"/>
          <w:highlight w:val="none"/>
        </w:rPr>
        <w:t xml:space="preserve">模块</w:t>
      </w:r>
      <w:r>
        <w:rPr>
          <w:rFonts w:hint="eastAsia" w:ascii="宋体" w:hAnsi="宋体"/>
          <w:bCs/>
          <w:color w:val="000000"/>
          <w:sz w:val="24"/>
          <w:highlight w:val="none"/>
        </w:rPr>
      </w:r>
      <w:r/>
    </w:p>
    <w:p>
      <w:pPr>
        <w:pStyle w:val="821"/>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标本登记时可对送检标本是否合格及不合格原因进行记录，用于送检标本的质控统计，对不合格标本可拒收，同时记录拒收原因，生成统计报表，并打印拒收标本回执单</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821"/>
        <w:ind w:firstLine="482"/>
        <w:spacing w:line="360" w:lineRule="auto"/>
        <w:rPr>
          <w:rFonts w:ascii="宋体" w:hAnsi="宋体"/>
          <w:b/>
          <w:bCs/>
          <w:color w:val="000000"/>
          <w:sz w:val="24"/>
          <w:szCs w:val="24"/>
          <w:highlight w:val="none"/>
        </w:rPr>
        <w:outlineLvl w:val="3"/>
      </w:pPr>
      <w:r>
        <w:rPr>
          <w:rFonts w:hint="eastAsia" w:ascii="宋体" w:hAnsi="宋体"/>
          <w:b/>
          <w:bCs/>
          <w:color w:val="000000"/>
          <w:sz w:val="24"/>
          <w:szCs w:val="24"/>
          <w:highlight w:val="none"/>
        </w:rPr>
        <w:t xml:space="preserve">1.2取材工位模块</w:t>
      </w:r>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（1）每个取材岗位对应一个取材工作站，并为每个操作员提供唯一身份识别码，操作前扫描名牌登记，可自定义登录有效时间，避免长期不操作，下一操作员用上一人员操作名牌；</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（2）可扫描当前病例标本袋/标本盒上条码，并将包埋盒匹配到正确的样本容器上；</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（3）如果验证过程中，发生操作者扫描蜡块信息与病理号不匹配或少验证的错误后，系统可自动弹窗大字+声音等方式警示操作者，确保样本不发生混淆；</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（4）系统自动计算蜡块数和取材块数以及操作人员和具体操作时间；</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（5）操作员和病理医生均可对任一包埋盒录入特殊说明和材块数，可对病例记录质量问题；上述信息可自动传递至后续站点；</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（6）可将特殊说明批量应用至不同病例其他蜡块，提升操作效率；</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（7）支持打印冰冻以及会诊病例虚拟蜡块标签，以便后续使用切片工作站打印会诊标本切片标签/玻片；</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3"/>
      </w:pPr>
      <w:r>
        <w:rPr>
          <w:rFonts w:hint="eastAsia" w:ascii="宋体" w:hAnsi="宋体"/>
          <w:color w:val="000000"/>
          <w:sz w:val="24"/>
          <w:szCs w:val="24"/>
          <w:highlight w:val="none"/>
        </w:rPr>
        <w:t xml:space="preserve">（8）在扫描验证蜡块的过程中，可将组织蜡块指定至任意标记过的脱水框，用于后续脱水环节的追踪蜡块位置</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1.3脱水工位模块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（1）脱水室配备脱水工作站软件，使用触摸屏电脑，工作人员可通过扫描工牌的方式登录系统。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（2）通过扫描脱水框上的虚拟条码，可追踪脱水框在多个脱水机中的位置。支持单件扫描和批量处理操作扫描核对蜡块操作</w:t>
      </w:r>
      <w:r>
        <w:rPr>
          <w:rFonts w:hint="eastAsia" w:ascii="宋体" w:hAnsi="宋体"/>
          <w:bCs/>
          <w:color w:val="000000"/>
          <w:sz w:val="24"/>
          <w:highlight w:val="none"/>
        </w:rPr>
        <w:t xml:space="preserve">。</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（3）可精确查询病例蜡块历史脱水记录，定位存在质量问题的蜡块历史时间轴，包括所在的脱水机-脱水通道-脱水框；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（4）系统可随时查看分配到各组织脱水框的包埋盒；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（5）支持将包埋盒重新分配至其他脱水工作站中的脱水框；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（6）可将脱水框指定分配至某一脱水缸通道中，可选择脱水开始和结束时间，完成脱水后，系统自动清空脱水缸信息，并记录于病例历史记录中；</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1.4冰冻取材工位模块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（1）在每个冰冻染色工位配备独立运行程序，可通过扫描工牌或输入用户名密码进行登录。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（2）系统支持扫描冰冻标本条码进行冰冻取材验证。</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（3）系统支持自动记录冰冻取材信息。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（4）系统可提供冰冻取材工作量的精确统计。</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1.5冰冻切片工位模块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（1）可在每个冰冻切片工位配备独立运行程序，可通过扫描工牌或输入用户名密码进行登录。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（2）可在冰冻取材时打印带二维码的冰冻组织标签及包埋盒，用于跟踪冰冻组织。</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（3）可在单个冰冻切片工位上扫描冰冻组织标签二维码，直接打印对应的玻片二维码标签；支持设置打印冰冻标签的份数。</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（4）支持重复打印冰冻玻片二维码，重复打印系统相关提示。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（5）可通过扫描冰冻切片二维码记录冰冻切片完成时间，便于冰冻制片及时率的统计。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（6）支持扫描冰余的包埋盒生成和打印冰冻切片。</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（7）系统可进行取材质量评价，如“丢失”、“无组织”等情况，并可进行相应取材质量的查询统计；</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1.6包埋工位模块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（1）系统在每个包埋工位配备独立运行程序，可通过扫描工牌或输入用户名密码进行登录；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（2）系统通过扫描包埋盒上的二维码标签可查看当前包埋盒的病理号、组织名称、组织亚型、材块数等相关信息，用于包埋时进行核对，同时可自动对当前包埋人员和包埋时间进行确认；</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▲（3）以单件流设计原理，供操作员技术员在包埋时核对取材时记录的病例信息。当标本上一环节存在特殊说明（如立埋等特殊要求）时，扫描包埋盒后会显示此信息；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（4）支持显示标本取材时大体描述等信息。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（5）系统可对特殊处理的蜡块进行弹框提示。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（6）系统可进行取材质量评价，如“翻盖”、“丢失”、“无组织”等情况，并可进行相应取材质量的查询统计；</w:t>
      </w:r>
      <w:r>
        <w:rPr>
          <w:rFonts w:hint="eastAsia" w:ascii="宋体" w:hAnsi="宋体"/>
          <w:color w:val="000000"/>
          <w:sz w:val="24"/>
          <w:szCs w:val="24"/>
          <w:highlight w:val="none"/>
        </w:rPr>
      </w:r>
      <w:r/>
    </w:p>
    <w:p>
      <w:pPr>
        <w:pStyle w:val="821"/>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（7）系统可对已进行过质量评价的每一个蜡块可以记录处理结果；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（8）系统可提供包埋工作量和工作时间的精确统计；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（9）系统支持记录修蜡员工作量；</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（10）每个包埋岗位一个工作站，每个操作员提供唯一身份识别码；</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（11）系统可显示包埋盒信息，在上一环节存在质量问题或特殊说明时，扫描后会显示此信息，如立埋等特殊要求。</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1.7切片工位模块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（1）系统在每个切片工位配备独立运行程序，可通过扫描工牌或输入用户名密码进行登录；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（2）系统可在单个切片工位上扫描包埋盒上的二维码标签，直接打印对应的玻片二维码标签；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▲（3）系统以单件流原理设计的流程，即扫即打玻片，供操作员在切片过程中进行核对和确认，避免批量操作引起样本混淆错误；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bCs/>
          <w:color w:val="000000"/>
          <w:sz w:val="24"/>
          <w:highlight w:val="none"/>
        </w:rPr>
        <w:t xml:space="preserve">对于技术医嘱进行区分</w:t>
      </w:r>
      <w:r>
        <w:rPr>
          <w:rFonts w:hint="eastAsia" w:ascii="宋体" w:hAnsi="宋体"/>
          <w:color w:val="000000"/>
          <w:sz w:val="24"/>
          <w:szCs w:val="24"/>
          <w:highlight w:val="none"/>
        </w:rPr>
        <w:t xml:space="preserve">，可自动接收重切、深切</w:t>
      </w:r>
      <w:r>
        <w:rPr>
          <w:rFonts w:hint="eastAsia" w:ascii="宋体" w:hAnsi="宋体"/>
          <w:bCs/>
          <w:color w:val="000000"/>
          <w:sz w:val="24"/>
          <w:highlight w:val="none"/>
        </w:rPr>
        <w:t xml:space="preserve">以及特殊染色</w:t>
      </w:r>
      <w:r>
        <w:rPr>
          <w:rFonts w:hint="eastAsia" w:ascii="宋体" w:hAnsi="宋体"/>
          <w:color w:val="000000"/>
          <w:sz w:val="24"/>
          <w:szCs w:val="24"/>
          <w:highlight w:val="none"/>
        </w:rPr>
        <w:t xml:space="preserve">等技术医嘱自动打印对应玻片，以及免疫组化等医嘱信息，可通过扫描蜡块二维码，自动打印对应标签；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（5）可支持重打玻片/手动打印玻片标签。系统按照切片要求自动生成切片条码标签，已经完成的玻片和待打印的玻片。可进行补打标签和连切标签；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（6）系统自动统计切片数及操作人员和具体操作时间。在工作列表，可以查看包埋盒及玻片历史操作信息；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（7）系统可对当前的切片人、切片明细和切片信息进行确认，实现切片环节严格的“一一对应”控制管理；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（8）切片站点打印标签可直接用于免疫组化设备染色，免疫组化设备可自动识别项目，染色方案，无需重复打印标签；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（9）系统可对包埋蜡块进行质量评价，并可进行相应蜡块质量的查询统计；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（10）系统对已进行过质量评价的每一个蜡块可以记录处理结果；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（11）系统可自动提示当前登录用户当日所有的已切片病例列表；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（12）系统可自动提示所有已包埋但尚未制成切片的病例列表；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（13）系统可自动提示当前登录用户所有被诊断医师切片质量评价过的病例列表，可进行原因分析和处理结果的录入；</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（14）系统可提供切片工作量和工作时间的精确统计；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（15）系统可查询每一个蜡块或切片及同一病理号下相关蜡块或切片的历史记录信息，包括包埋、切片、染色及交接信息；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（16）以单件流设计原理，供操作员在切片时进行核对和确认；</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（17）系统可按照切片要求自动生成切片条码标签，已经完成的玻片和待打印的玻片；</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（18）可进行补打标签和连切标签。系统自动计算切片数及操作人员和具体操作时间；</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（19）可以指定出片到病理医生办公室或某病理医生。</w:t>
      </w:r>
      <w:r>
        <w:rPr>
          <w:rFonts w:ascii="宋体" w:hAnsi="宋体"/>
          <w:color w:val="000000"/>
          <w:sz w:val="24"/>
          <w:szCs w:val="24"/>
          <w:highlight w:val="none"/>
        </w:rPr>
      </w:r>
      <w:r/>
    </w:p>
    <w:p>
      <w:pPr>
        <w:pStyle w:val="821"/>
        <w:ind w:firstLine="480"/>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1.8</w:t>
      </w:r>
      <w:r>
        <w:rPr>
          <w:rFonts w:hint="eastAsia" w:ascii="宋体" w:hAnsi="宋体"/>
          <w:b/>
          <w:bCs/>
          <w:color w:val="000000"/>
          <w:sz w:val="24"/>
          <w:szCs w:val="24"/>
          <w:highlight w:val="none"/>
        </w:rPr>
        <w:t xml:space="preserve">常规染色工位模块</w:t>
      </w:r>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（1）系统在每个染色工位配备独立运行程序，可通过扫描工牌或输入用户名密码进行登录；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（2）系统可对常规H&amp;E染色切片位置进行实时记录；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▲（3）系统支持染色确认时染色交接，可记录交接动作及接收人；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（4）系统可与受支持的染色设备通讯，可接收染色仪器回传的切片染色状态信息；系统可追踪染色切片在染色仪上的位置，便于质控追溯； </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（5）系统可提供染色工作量和染色确认时间的精确统计；</w:t>
      </w:r>
      <w:r>
        <w:rPr>
          <w:rFonts w:hint="eastAsia" w:ascii="宋体" w:hAnsi="宋体"/>
          <w:color w:val="000000"/>
          <w:sz w:val="24"/>
          <w:szCs w:val="24"/>
          <w:highlight w:val="none"/>
        </w:rPr>
      </w:r>
      <w:r/>
    </w:p>
    <w:p>
      <w:pPr>
        <w:pStyle w:val="821"/>
        <w:ind w:firstLine="480"/>
        <w:spacing w:line="360" w:lineRule="auto"/>
        <w:rPr>
          <w:rFonts w:hint="eastAsia" w:ascii="宋体" w:hAnsi="宋体"/>
          <w:bCs/>
          <w:color w:val="000000"/>
          <w:sz w:val="24"/>
          <w:highlight w:val="none"/>
        </w:rPr>
      </w:pPr>
      <w:r>
        <w:rPr>
          <w:rFonts w:hint="eastAsia" w:ascii="宋体" w:hAnsi="宋体"/>
          <w:color w:val="000000"/>
          <w:sz w:val="24"/>
          <w:szCs w:val="24"/>
          <w:highlight w:val="none"/>
        </w:rPr>
        <w:t xml:space="preserve">（6）</w:t>
      </w:r>
      <w:r>
        <w:rPr>
          <w:rFonts w:hint="eastAsia" w:ascii="宋体" w:hAnsi="宋体"/>
          <w:bCs/>
          <w:color w:val="000000"/>
          <w:sz w:val="24"/>
          <w:highlight w:val="none"/>
        </w:rPr>
        <w:t xml:space="preserve">系统提供玻片核对功能，至少能检查“材块数”、“蜡块数”、“玻片数”、“已染色数”数据是否正确；</w:t>
      </w:r>
      <w:r>
        <w:rPr>
          <w:rFonts w:hint="eastAsia" w:ascii="宋体" w:hAnsi="宋体"/>
          <w:bCs/>
          <w:color w:val="000000"/>
          <w:sz w:val="24"/>
          <w:highlight w:val="none"/>
        </w:rPr>
      </w:r>
      <w:r/>
    </w:p>
    <w:p>
      <w:pPr>
        <w:pStyle w:val="821"/>
        <w:ind w:firstLine="480"/>
        <w:spacing w:line="360" w:lineRule="auto"/>
        <w:rPr>
          <w:rFonts w:hint="eastAsia" w:ascii="宋体" w:hAnsi="宋体"/>
          <w:bCs/>
          <w:color w:val="000000"/>
          <w:sz w:val="24"/>
          <w:highlight w:val="none"/>
        </w:rPr>
      </w:pPr>
      <w:r>
        <w:rPr>
          <w:rFonts w:hint="eastAsia" w:ascii="宋体" w:hAnsi="宋体"/>
          <w:color w:val="000000"/>
          <w:sz w:val="24"/>
          <w:szCs w:val="24"/>
          <w:highlight w:val="none"/>
        </w:rPr>
        <w:t xml:space="preserve">（7）系统可查询每一个蜡块或切片及同一病理号下相关蜡块或切片的历史记录信息，包括包埋、切片、染色及交接信息。</w:t>
      </w:r>
      <w:r>
        <w:rPr>
          <w:rFonts w:hint="eastAsia" w:ascii="宋体" w:hAnsi="宋体"/>
          <w:bCs/>
          <w:color w:val="000000"/>
          <w:sz w:val="24"/>
          <w:highlight w:val="none"/>
        </w:rPr>
      </w:r>
      <w:r/>
    </w:p>
    <w:p>
      <w:pPr>
        <w:pStyle w:val="821"/>
        <w:ind w:firstLine="480"/>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1.9 </w:t>
      </w:r>
      <w:r>
        <w:rPr>
          <w:rFonts w:hint="eastAsia" w:ascii="宋体" w:hAnsi="宋体"/>
          <w:b/>
          <w:bCs/>
          <w:color w:val="000000"/>
          <w:sz w:val="24"/>
          <w:szCs w:val="24"/>
          <w:highlight w:val="none"/>
        </w:rPr>
        <w:t xml:space="preserve">出片工位模块</w:t>
      </w:r>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（1）系统包含常规HE染色病例收集工作站、免疫组化病例收集工作站和冰冻病例收集工作站，自动接收所有待出片的玻片记录；</w:t>
      </w:r>
      <w:r>
        <w:rPr>
          <w:rFonts w:hint="eastAsia" w:ascii="宋体" w:hAnsi="宋体"/>
          <w:color w:val="000000"/>
          <w:sz w:val="24"/>
          <w:szCs w:val="24"/>
          <w:highlight w:val="none"/>
        </w:rPr>
      </w:r>
      <w:r/>
    </w:p>
    <w:p>
      <w:pPr>
        <w:pStyle w:val="821"/>
        <w:ind w:firstLine="480"/>
        <w:spacing w:line="360" w:lineRule="auto"/>
        <w:rPr>
          <w:rFonts w:hint="eastAsia" w:ascii="宋体" w:hAnsi="宋体"/>
          <w:bCs/>
          <w:color w:val="000000"/>
          <w:sz w:val="24"/>
          <w:highlight w:val="none"/>
        </w:rPr>
      </w:pPr>
      <w:r>
        <w:rPr>
          <w:rFonts w:hint="eastAsia" w:ascii="宋体" w:hAnsi="宋体"/>
          <w:color w:val="000000"/>
          <w:sz w:val="24"/>
          <w:szCs w:val="24"/>
          <w:highlight w:val="none"/>
        </w:rPr>
        <w:t xml:space="preserve">（2）</w:t>
      </w:r>
      <w:r>
        <w:rPr>
          <w:rFonts w:hint="eastAsia" w:ascii="宋体" w:hAnsi="宋体"/>
          <w:bCs/>
          <w:color w:val="000000"/>
          <w:sz w:val="24"/>
          <w:highlight w:val="none"/>
        </w:rPr>
        <w:t xml:space="preserve">提供≥2种筛选方式，使分片人更便于按需分片，可按标本类型、院区、送检科室等进行筛选，提供当天分片记录查询；</w:t>
      </w:r>
      <w:r>
        <w:rPr>
          <w:rFonts w:hint="eastAsia" w:ascii="宋体" w:hAnsi="宋体"/>
          <w:bCs/>
          <w:color w:val="000000"/>
          <w:sz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▲（3）系统可以指定出片到病理医生办公室或某病理医生。审核最终出片状态。添加项目可支持自定义染色类型；</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（4）系统记录出片时间、出片人员、出片数量，某一病理号下所有玻片是否完整出片，未出片玻片的当前状态；</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（5）支持打印出片</w:t>
      </w:r>
      <w:r>
        <w:rPr>
          <w:rFonts w:hint="eastAsia" w:ascii="宋体" w:hAnsi="宋体"/>
          <w:bCs/>
          <w:color w:val="000000"/>
          <w:sz w:val="24"/>
          <w:highlight w:val="none"/>
        </w:rPr>
        <w:t xml:space="preserve">明细交接单</w:t>
      </w:r>
      <w:r>
        <w:rPr>
          <w:rFonts w:hint="eastAsia" w:ascii="宋体" w:hAnsi="宋体"/>
          <w:color w:val="000000"/>
          <w:sz w:val="24"/>
          <w:szCs w:val="24"/>
          <w:highlight w:val="none"/>
        </w:rPr>
        <w:t xml:space="preserve">，包括医院地址信息及接收病例的病理医生。出片文档可显示文件夹发送的位置、已出片到文件夹的切片以及出片分片打印的日期和时间；</w:t>
      </w:r>
      <w:r>
        <w:rPr>
          <w:rFonts w:ascii="宋体" w:hAnsi="宋体"/>
          <w:color w:val="000000"/>
          <w:sz w:val="24"/>
          <w:szCs w:val="24"/>
          <w:highlight w:val="none"/>
        </w:rPr>
      </w:r>
      <w:r/>
    </w:p>
    <w:p>
      <w:pPr>
        <w:pStyle w:val="82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支持扫描记录冰冻切片出片状态；</w:t>
      </w:r>
      <w:r>
        <w:rPr>
          <w:rFonts w:hint="eastAsia" w:ascii="宋体" w:hAnsi="宋体" w:eastAsia="宋体" w:cs="Times New Roman"/>
          <w:color w:val="000000"/>
          <w:sz w:val="24"/>
          <w:szCs w:val="24"/>
          <w:highlight w:val="none"/>
        </w:rPr>
      </w:r>
      <w:r/>
    </w:p>
    <w:p>
      <w:pPr>
        <w:pStyle w:val="82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系统可按阅片位置和阅片人进行出片，并拥有交接签核功能；</w:t>
      </w:r>
      <w:r>
        <w:rPr>
          <w:rFonts w:hint="eastAsia" w:ascii="宋体" w:hAnsi="宋体" w:eastAsia="宋体" w:cs="Times New Roman"/>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1.10. 高级染色工位模块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（1）系统在每个免疫组化工位配备独立运行程序，可通过扫描工牌或输入用户名密码进行登录；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▲（2）系统可实现在单个免疫组化工位上扫描包埋盒上的二维码标签，直接从特检医嘱信息中提取病例信息、标记物名称等内容并打印当前蜡块所有的免疫组化医嘱玻片二维码标签；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（3）系统可对免疫组化切片的切片人、切片明细、切片信息和捞片员进行确认，实现免疫组化切片环节严格的“一一对应”控制管理；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（4）系统支持执行特检医嘱时自动生成HE标签；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（5）系统提供特检切片核对功能，通过扫描包埋盒二维码并连续扫描当前蜡块对应的标记物的切片标签二维码进行特检切片核对；</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（6）系统可支持免疫组化仪器染色状态提示，包含试剂和抗体批次，效期，精确到每台仪器；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▲（7）系统提供染色批次时间统计，抗体分配最优化策略，人员排班分配策略，仪器工作负载分析，仪器报错统计及分析；</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（8）系统可提供免疫组化切片工作量和工作时间的精确统计；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（9）系统可查询每一个蜡块或切片及同一病理号下相关蜡块或切片的历史记录信息，包括包埋、切片、染色及交接信息。</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1.11样本追踪流转模块 </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（1）系统在每个流转工位配备独立运行程序，可通过扫描工牌或输入用户名密码进行登录。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▲（2）系统在进行交接管理时可通过扫描玻片或蜡块二维码标签直接记录交接人、交接时间、交接物品等信息，实现样本交接状态的追溯功能。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（3）支持快速病例历史记录查询，可通过病理号，患者ID等多种方式查询相关样本历史处理步骤。</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（4）进行切片或蜡块流转时，支持记录流转信息。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（5）系统支持查询蜡块或切片当前位置及流转信息。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（6）支持通过门户网站管理页面查询并追踪病例标本的质量问题，可自定义并记录任意环节蜡块/切片的质量问题；</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（7）支持多种查询方式，支持模糊搜索的方式，查询标本信息。</w:t>
      </w:r>
      <w:r>
        <w:rPr>
          <w:rFonts w:hint="eastAsia" w:ascii="宋体" w:hAnsi="宋体"/>
          <w:color w:val="000000"/>
          <w:sz w:val="24"/>
          <w:szCs w:val="24"/>
          <w:highlight w:val="none"/>
        </w:rPr>
      </w:r>
      <w:r/>
    </w:p>
    <w:p>
      <w:pPr>
        <w:pStyle w:val="821"/>
        <w:ind w:firstLine="482"/>
        <w:spacing w:line="360" w:lineRule="auto"/>
        <w:rPr>
          <w:rFonts w:ascii="宋体" w:hAnsi="宋体"/>
          <w:b/>
          <w:bCs/>
          <w:color w:val="000000"/>
          <w:sz w:val="24"/>
          <w:szCs w:val="24"/>
          <w:highlight w:val="none"/>
        </w:rPr>
        <w:outlineLvl w:val="3"/>
      </w:pPr>
      <w:r>
        <w:rPr>
          <w:rFonts w:hint="eastAsia" w:ascii="宋体" w:hAnsi="宋体"/>
          <w:b/>
          <w:bCs/>
          <w:color w:val="000000"/>
          <w:sz w:val="24"/>
          <w:szCs w:val="24"/>
          <w:highlight w:val="none"/>
        </w:rPr>
        <w:t xml:space="preserve">1.12细胞学工位模块</w:t>
      </w:r>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（1）系统可对流向细胞学的蜡块和玻片进行追踪，细胞学工作站支持打印标本条码标签和玻片标签，并对细胞学标本进行特殊说明及质量问题的备注。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（2）支持在细胞学工作站添加新玻片，对于标签内容可进行自定义设置；</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（3）可在细胞学工作站添加或删除玻片，可支持虚拟的试样和载玻片；</w:t>
      </w:r>
      <w:r>
        <w:rPr>
          <w:rFonts w:ascii="宋体" w:hAnsi="宋体"/>
          <w:color w:val="000000"/>
          <w:sz w:val="24"/>
          <w:szCs w:val="24"/>
          <w:highlight w:val="none"/>
        </w:rPr>
      </w:r>
      <w:r/>
    </w:p>
    <w:p>
      <w:pPr>
        <w:pStyle w:val="82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（4）支持对未染色的玻片进行校对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21"/>
        <w:ind w:firstLine="482"/>
        <w:spacing w:line="360" w:lineRule="auto"/>
        <w:rPr>
          <w:rFonts w:hint="eastAsia" w:ascii="宋体" w:hAnsi="宋体" w:eastAsia="宋体" w:cs="Times New Roman"/>
          <w:b/>
          <w:bCs/>
          <w:color w:val="000000"/>
          <w:sz w:val="24"/>
          <w:szCs w:val="24"/>
          <w:highlight w:val="none"/>
        </w:rPr>
        <w:outlineLvl w:val="3"/>
      </w:pPr>
      <w:r>
        <w:rPr>
          <w:rFonts w:hint="eastAsia" w:ascii="宋体" w:hAnsi="宋体" w:eastAsia="宋体" w:cs="Times New Roman"/>
          <w:b/>
          <w:bCs/>
          <w:color w:val="000000"/>
          <w:sz w:val="24"/>
          <w:szCs w:val="24"/>
          <w:highlight w:val="none"/>
        </w:rPr>
        <w:t xml:space="preserve">1.13 分子病理工作站</w:t>
      </w:r>
      <w:r>
        <w:rPr>
          <w:rFonts w:hint="eastAsia" w:ascii="宋体" w:hAnsi="宋体" w:eastAsia="宋体" w:cs="Times New Roman"/>
          <w:b/>
          <w:bCs/>
          <w:color w:val="000000"/>
          <w:sz w:val="24"/>
          <w:szCs w:val="24"/>
          <w:highlight w:val="none"/>
        </w:rPr>
      </w:r>
      <w:r/>
    </w:p>
    <w:p>
      <w:pPr>
        <w:pStyle w:val="82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（1）提供玻片评价功能，可直接查看历史病历；</w:t>
      </w:r>
      <w:r>
        <w:rPr>
          <w:rFonts w:hint="eastAsia" w:ascii="宋体" w:hAnsi="宋体"/>
          <w:bCs/>
          <w:color w:val="000000"/>
          <w:sz w:val="24"/>
          <w:highlight w:val="none"/>
        </w:rPr>
      </w:r>
      <w:r/>
    </w:p>
    <w:p>
      <w:pPr>
        <w:pStyle w:val="82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（2）至少支持添加切片人、操作人，支持分配诊断。</w:t>
      </w:r>
      <w:r>
        <w:rPr>
          <w:rFonts w:hint="eastAsia" w:ascii="宋体" w:hAnsi="宋体"/>
          <w:bCs/>
          <w:color w:val="000000"/>
          <w:sz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1.14定制病理信息系统接口</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（1）取材明细接收：实时接收病理信息系统在取材工作站软件中添加的取材明细数据。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（2）取材扫描核对后，发送取材操作人员信息及状态标记到病理信息系统。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（3）接收病理信息系统发送的蜡块信息（病人编号、病人姓名、性别、医生编号、医生姓名、项目、蜡块号、切片号、标本类型等）。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（4）包埋环节扫描核对后，发送包埋操作人员信息及状态标记到病理信息系统。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（5）切片环节扫描后，发送切片操作人员信息及状态标记到病理信息系统。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（6）染色环节扫描后，发送染色操作人员信息及状态标记到病理信息系统。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（7）接收病理信息系统的重切、深切等标记的记录信息。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（8）发送特殊染色项目状态到病理信息系统。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（9）接收与验证会诊标签的编号信息。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（10）接收与验证冰冻标签的编号信息。</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1.15病理数据可视化大屏系统软件</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（1）大屏仪表盘展示科室运营关键绩效指标基于实时的数据处理和分析，通过仪表盘式的布局展示科室不同专业组关注的绩效和质量指标，整合了病理科工作流程不同维度的数据；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技术组工作分析及展示：人员工作量（取材，包埋，切片的数量）、常规及高级染色数量及进度的统计、各环节周转时间的统计、制片过程中质量问题的汇总、免疫组化日均片量统计、免疫组化染色仪器负荷统计、免疫组化染色项目分析、免疫组化切片上机曲线、仪器状态及报警信息提示、切片染色历史记录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（4）病理质控分析及展示：冰冻切片优良率、HE染色切片优良率、免疫组化染色切片优良率。</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（5）图表展示类型：看板列表、折线图、柱状图、饼图。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注：本模块仅包含三个病理数据可视化大屏页面，每个可视化大屏页面最多支持16个定制化的统计及展示模块。</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bookmarkStart w:id="489" w:name="_Toc29693"/>
      <w:r>
        <w:rPr>
          <w:rFonts w:hint="eastAsia" w:ascii="宋体" w:hAnsi="宋体"/>
          <w:b/>
          <w:bCs/>
          <w:color w:val="000000"/>
          <w:sz w:val="24"/>
          <w:szCs w:val="24"/>
          <w:highlight w:val="none"/>
        </w:rPr>
        <w:t xml:space="preserve">2、病理实验室标准化管理系统软件</w:t>
      </w:r>
      <w:bookmarkEnd w:id="489"/>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病理实验室标准化管理系统是基于CNAS/ISO15189认可标准体系构建的科室管理解决方案，通过整合“人机料法环件”全要素管理、标准化迎检流程、多级审批追踪及电子化质控模块，为连云港市第一人民医院病理科构建符合CNAS/ISO15189认可要求的质量管理体系。ISO15189智慧管理平台将与现有分子实验流程实现数据协同，形成从实验操作到体系认证的全流程闭环管理，助力科室在CNAS/ISO15189认可过程中实现流程标准化、管理精细化和质控体系化。</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2.1人员管理模块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（1）支持科室人员档案综合管理，综合管理字段可自定义，适配实验室管理需要，如新增、修改、调整布局；</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（2）支持各类人员多维度信息资料的录入 、维护及汇总展示， 包括人员资质信息的拍照或扫描上传及后续管理维护，如教育经历、工作经历、专业轮岗记录、培训记录、进修记录、继续教育、论文专著、社会任职、资质证书、科研成果、个人健康信息等，并可根据实验室自有的表单新增或者调整；</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▲（3）支持人员岗位的培训与考试，负责人可发起在线培训/考试（考核/考试模块）任务，并可查看任务完成情况；</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（4）支持多条件组合检索人员档案，可跨字段查询人员基础信息、培训记录、会议参与、考核结果及加班数据；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（5）支持培训/会议/加班等记录的集中管理维护，相关数据自动关联至对应人员电子档案，并按类型分类展示历史记录；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（6）支持考核信息的录入及依据评分值的考核结果自动判定，提供考核记录审核流程管理及记录单打印功能；</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（7）动态关联：岗位授权、人员培训、人员评估、考核/考试结果自动与技术档案关联，无需额外更新；</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（8）支持可视化多维度分析人员档案数据 、并动态查询与打印数据记录</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2.2设备管理模块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（1）支持基于ISO 15189要求的设备档案管理，完整覆盖设备基本信息，并维护说明书、校准证书等附件资料；</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（2）支持实验室设备全生命周期操作记录管理，涵盖使用、维护、故障、维修、消毒、校准等场景管理，记录流程支持分步骤结构化录入；</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（3）支持工作台关联设备管理，按工作台类别进行设备信息维护与权限控制；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（4）支持自定义设备管理记录类型，可关联配置运行、使用、维护等相应记录类型的规则模板；</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（5）支持设备类型模板的精细化管理，包括设备公共字段及不同保养类型(日/月/周/季度/年度等)的差异化记录模板的维护；</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（6）支持多频次设备保养任务配置， 按周期频率触发不同专业组/岗位的设备保养任务提示；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（7）支持设备记录录入， 按录入状态分类查询， 支持不同质控类型的记录管理(日质控/月质控)；</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（8）支持动态监控设备记录状态，对未录入 、已录入 、未来录入进行汇总统计； 录入频率与任务分组可个性化配置；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（9）支持设备档案多维度分析汇总， 以报表形式展示不同维度的设备档案数据；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（10）支持设备层级结构与快速筛选，按专业组、设备类型筛选并查看操作记录历史；</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（12）支持多维记录查询，按创建人及完成状态展示设备记录；</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2.3试剂耗材管理系统软件</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（1）入库管理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1)支持入库单的新增管理及入库单查询管理；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2)系统支持仓库货位维护，通过系统新建、维护虚拟冰箱，通过不同颜色字体展示货位启用禁用状态；</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3)系统支持批量入库，入库时支持修改有效期和仓库货位信息；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4)系统可进行试剂入库单位自定义、根据试剂入库数量自动生成及打印试剂条码；</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5)系统支持赠送试剂、自制试剂及试剂有效期管理。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（2）出库管理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1)支持用户录入、扫描条码出库等方式；</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2)支持批量出库及单个出库两种模式；</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3)试剂出库支持先进先出、批量出库、过期提醒等规则设置；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（3）库存管理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1)系统支持多院区库存管理、细分专业组管理等多种模式，可根据不同级别、不同权限提供相应的试剂管理权限；</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5"/>
      </w:pPr>
      <w:r>
        <w:rPr>
          <w:rFonts w:hint="eastAsia" w:ascii="宋体" w:hAnsi="宋体"/>
          <w:color w:val="000000"/>
          <w:sz w:val="24"/>
          <w:szCs w:val="24"/>
          <w:highlight w:val="none"/>
        </w:rPr>
        <w:t xml:space="preserve">2)系统可提供首页管理，直观展示预警信息、库存提醒、到期提醒、今日出库等信息，支持弹框提醒；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3)系统支持每日明细查询，出入库汇总查询，支持库存数据导出；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4)支持试剂耗材的各类提醒设置，例如库存提醒、到期提醒等，可追踪、预警库存信息、试剂效期提醒、库存量监控等功能。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（4）性能验证</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1)系统支持对试剂及耗材是否需要性能验证进行分类标记；</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2)系统支持未做性能验证的试剂批次进行性能验证提醒；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3)系统支持试剂性能验证，验证通过需进行验证结果填入，支持性能验证结果拍照上传；</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5"/>
      </w:pPr>
      <w:r>
        <w:rPr>
          <w:rFonts w:hint="eastAsia" w:ascii="宋体" w:hAnsi="宋体"/>
          <w:color w:val="000000"/>
          <w:sz w:val="24"/>
          <w:szCs w:val="24"/>
          <w:highlight w:val="none"/>
        </w:rPr>
        <w:t xml:space="preserve">4)系统支持性能验证出库质控环节控制方式，验证未通过，相同批次试剂无法启用及出库。</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（5）试剂使用管理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1)系统支持出库并直接启用试剂的设置；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2)系统支持设置使用试剂出库日期即为首次使用时间，支持根据特定规则自动判断上一试剂是否用完；</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3)系统支持启用试剂到期提醒，支持查看试剂有效截止时间、试剂是否已过期等功能；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4)系统支持试剂使用管理汇总查询，可展示使用状态、可进行“用完”操作并记录用完时间；</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（6）不良事件管理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1)系统支持进行试剂不良事件记录管理功能；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2)系统支持试剂不良事件说明记录、影响，同时对于纠正措施及纠正措施执行情况进行管理；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（7）危化品管理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1)系统支持危化品领用、出库、记录等功能；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5"/>
      </w:pPr>
      <w:r>
        <w:rPr>
          <w:rFonts w:hint="eastAsia" w:ascii="宋体" w:hAnsi="宋体"/>
          <w:color w:val="000000"/>
          <w:sz w:val="24"/>
          <w:szCs w:val="24"/>
          <w:highlight w:val="none"/>
        </w:rPr>
        <w:t xml:space="preserve">2)系统支持危化品出库双签功能，支持审核人员提醒功能；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3)系统支持危化品管理支持按最小单位扫描条码领用，支持系统记录每次使用情况；</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4)系统支持危化品管理支持返库功能，记录返库数量，批次号，剩余数量；</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5)系统支持记录危化品领用名称、用途、领用日期、数量、领用人、确认人等信息。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（8）供应商管理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1)系统支持对试剂耗材供应商进行统一管理；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2)系统支持供应商基础信息维护、供应商启用停用管理；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3)系统支持上传供应商资质证明材料，如：营业执照、经营许可证等，支持对资质进行在线预览；</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4)系统支持试剂耗材资质、供应商资质、生产厂家资质提醒，按照规则排列，支持自定义查询功能；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5)系统支持厂家直接转为供应商功能；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6)系统支持供应商评价功能，评价记录支持在明细信息中以表格形式展示，展示内容包括：分数、等级、说明、评价人、时间等信息。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outlineLvl w:val="4"/>
      </w:pPr>
      <w:r>
        <w:rPr>
          <w:rFonts w:hint="eastAsia" w:ascii="宋体" w:hAnsi="宋体"/>
          <w:color w:val="000000"/>
          <w:sz w:val="24"/>
          <w:szCs w:val="24"/>
          <w:highlight w:val="none"/>
        </w:rPr>
        <w:t xml:space="preserve">（9）数据统计管理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1)系统支持出入库数据查询、统计功能；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2)系统支持出入库数据查询按专业组、按院区进行数据汇总统计；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3)系统支持库存明细等数据查询统计功能；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4)系统支持每日试剂出入库统计功能；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color w:val="000000"/>
          <w:highlight w:val="none"/>
        </w:rPr>
        <w:t xml:space="preserve"> </w:t>
      </w:r>
      <w:r>
        <w:rPr>
          <w:rFonts w:hint="eastAsia" w:ascii="宋体" w:hAnsi="宋体"/>
          <w:color w:val="000000"/>
          <w:sz w:val="24"/>
          <w:szCs w:val="24"/>
          <w:highlight w:val="none"/>
        </w:rPr>
        <w:t xml:space="preserve">系统支持可视化统计报表自定义设计与配置功能。</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2.4环境管理模块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（1）系统支持环境温度湿度等指标记录及环境消毒记录的填写与查询；</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（2）系统支持环境档案综合维护，涵盖环境管理名称、状态等信息，支持关联所属专业组或者岗位，支持独立设定各环境参数默认值；</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（3）系统支持多专业组/岗位环境信息管理，可使用统一的环境记录模板；</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（4）系统支持多维环境记录管理，覆盖温湿度、气压、消毒（台面/地面/移液器/紫外线空气消毒器等）等操作记录；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（5）系统支持自定义各类环境记录模板，公共模板可关联实验室内设备信息；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（6）系统支持环境记录快速操作，包括历史数据加载、附件上传 、自动获取等便捷功能；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（7）系统支持单个环境记录和批量环境记录双模式， 超时未填写记录提供补填入口；</w:t>
      </w:r>
      <w:r>
        <w:rPr>
          <w:rFonts w:hint="eastAsia" w:ascii="宋体" w:hAnsi="宋体"/>
          <w:color w:val="000000"/>
          <w:sz w:val="24"/>
          <w:szCs w:val="24"/>
          <w:highlight w:val="none"/>
        </w:rPr>
      </w:r>
      <w:r/>
    </w:p>
    <w:p>
      <w:pPr>
        <w:pStyle w:val="821"/>
        <w:ind w:firstLine="480"/>
        <w:spacing w:line="360" w:lineRule="auto"/>
        <w:rPr>
          <w:rFonts w:ascii="宋体" w:hAnsi="宋体"/>
          <w:bCs/>
          <w:color w:val="000000"/>
          <w:sz w:val="24"/>
          <w:highlight w:val="none"/>
        </w:rPr>
      </w:pPr>
      <w:r>
        <w:rPr>
          <w:rFonts w:hint="eastAsia" w:ascii="宋体" w:hAnsi="宋体"/>
          <w:color w:val="000000"/>
          <w:sz w:val="24"/>
          <w:szCs w:val="24"/>
          <w:highlight w:val="none"/>
        </w:rPr>
        <w:t xml:space="preserve">（8）</w:t>
      </w:r>
      <w:r>
        <w:rPr>
          <w:rFonts w:hint="eastAsia" w:ascii="宋体" w:hAnsi="宋体"/>
          <w:bCs/>
          <w:color w:val="000000"/>
          <w:sz w:val="24"/>
          <w:highlight w:val="none"/>
        </w:rPr>
        <w:t xml:space="preserve">支持对接冷链系统，系统自动获取冰箱温度数据，温度失控时同步传输数据；</w:t>
      </w:r>
      <w:r>
        <w:rPr>
          <w:rFonts w:ascii="宋体" w:hAnsi="宋体"/>
          <w:bCs/>
          <w:color w:val="000000"/>
          <w:sz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（9）系统支持环境记录调整， 可对单条或批量记录调整或者删除，也可回退记录重新填写，回退时强制回退原因并留痕。</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2.5文件管理模块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（1）系统支持科室内外部文件的统一在线管理（新建、审核、发布、修订、作废等），确保符合ISO 15189规范要求；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（2）系统支持基于角色的精细化权限控制，按角色分配权限，如维护文件目录、上传文件等；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（3）系统支持文件全生命周期可视化追踪，统一展示文件状态，支持在线预览、转发、下载管理及打印功能；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（4）系统支持多层级目录与专业组隔离管理，支持创建多层级的文件目录，按专业组查看不同的文件目录及文件阅读管理；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（5）系统支持上传</w:t>
      </w:r>
      <w:r>
        <w:rPr>
          <w:rFonts w:ascii="宋体" w:hAnsi="宋体"/>
          <w:color w:val="000000"/>
          <w:sz w:val="24"/>
          <w:szCs w:val="24"/>
          <w:highlight w:val="none"/>
        </w:rPr>
        <w:t xml:space="preserve">Word/PDF/HTML</w:t>
      </w:r>
      <w:r>
        <w:rPr>
          <w:rFonts w:hint="eastAsia" w:ascii="宋体" w:hAnsi="宋体"/>
          <w:color w:val="000000"/>
          <w:sz w:val="24"/>
          <w:szCs w:val="24"/>
          <w:highlight w:val="none"/>
        </w:rPr>
        <w:t xml:space="preserve">等多格式文件，确保文件兼容性；</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（6）系统支持自定义多级审核流程配置，按不同专业组分支控制多级审核流程，满足差异化审批需求；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（7）系统支持文件单个或批量新增/修改/废除的审核发布操作；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（8）系统支持无限制文件版本迭代管理，文件修订可生成不限次数的历史版本，保留完整变更轨迹，支持当前文件版本与历史版本的文件比较查看，查看版本之间的变更内容；</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（9）系统支持上传文件的标签分类管理，辅助快速检索；</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（10）系统支持按角色权限限制当前版本文件的下载操作，保障数据安全；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（11）系统支持文件溯源与操作审计，可查看文档简介信息、历史转发阅读记录、流程审批记录及下载记录；</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（12）系统支持文件关联索引支持的电子记录表单以及相关文件，可依据条款查询到相关表单的结构与执行数据。</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（13）文件版本：文件各历史版本可视化差异比较</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（14）文件审查：支持按计划/人员分工的方式定期/不定期文件审查，流程环节可自定义，适配科室管理需要，并支持一体化文件修改/废除操作，确保科室制度文件继续适用/有效。</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2.6体系管理模块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（1）支持结构化条款库预设预置，在线管理ISO 15189新版认可准则条款库（CL02主准则及细分领域应用说明等），支持动态更新与版本控制；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（2）支持维护条款对应的标准解读和检查要点，包括具体评审内容、评审方式、质控评审重点等信息；</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（3）支持条款关联索引至系统内文件管理模块文件，包括质量体系文件、程序文件、SOP和资质文件；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（4）支持按条款号范围快速定位到对应条款准则要求， 支持条款号、专业组进行查询，从标准-科室制度-相关表单-执行记录体系统化展示查询结果；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）支持CNAS各类准则文件维护，包括实验室各亚专业的认可要求和迎检思路，例如上传CL02认可准则、细分领域的认可说明文件等。</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2.7审批管理模块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（1）支持全流程线上审批管理，实现科室审批业务的表单格式、记录流程自定义配置，确保统一表单规范及操作全链路日志管理；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（2）提供表单模版必填项设定、格式自定义、审批节点配置等编辑功能，满足差异化流程需求；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（3）支持基于当前用户分类展示审批单据， 包含“我的待办”“我的已发起 ” “抄送我的 ”“草稿箱”“我的已办”“我的转交”“我抄送的”等多类型单据， 实现任务精准聚焦；</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（4）支持指定表单审批及驳回功能，支持查看已发布审批表单；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（5）支持审批记录全生命周期管理，支持展示审批记录状态与流程节点详情，支持无效记录撤回及删除；</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（6）支持自定义分组管理表单， 支持表单查看修改记录追踪及审批流程变更记录；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（7）支持后台预设表单， 支持流程表单数据的打印预览，可根据Word模板自定义设计；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（8）支持表单版本追溯，管理表单历史版本，支持版本回溯查看及历史数据导出；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（9）支持审批人动态指派机制，根据不同条件分支来自定义流程节点审批人。</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2.8电子记录管理模块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（1）支持提供评审过程的数据管理，提供工作日志数据、技术数据及流程表单的完整审计追踪，支持多条件联合检索；</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（2）支持ISO 15189条款化记录查询，按照ISO 15189条款章节分类展示工作日志、流程表单及归档纸质文件等电子记录，实现合规性快速核验；</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（3）支持标签化条款快速检索，按专业组、风险等级等标签筛选条款，关联展示日志数据、技术数据及流程表单等，提升分类查询效率。</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▲（4）支持同一界面关联展示病理科各种记录表单，包括但不限于十三项质控指标统计表单、各种质控统计表单；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▲（5）支持电子记录与审批表单联动管理，关联展示表单记录，支持审批记录可视化展示及审批日志留言查询；</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（6）支持电子记录模块对应表单的审批操作管理，覆盖审批流程发起、无审批流程表单的创建与管理；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（7）支持电子表单数据的仪表盘设计与调整，可按不同角色多维度展示报表；</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2.9 CNAS质控管理模块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（1）支持室间质评全周期管理，单次室间质评活动可关联多个质评项目；支持质评证书的上传、在线预览、下载；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（2）支持室间质评结果及各质评项目结果详情的展示；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（3）质评记录中，结合CNAS室间质评要求，对于不符合预期的结果，支持原因分析记录，并支持制定具体的处理措施和改进计划；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（4）支持室间质评数据维护，可录入、修改室间质评明细与评价结果；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（5）支持对室间质评不合格项发起持续改进；支持进行持续改进发起、描述、原因分析、改进措施、执行情况及验证结果全流程闭环管理；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（6）支持科室质控一体化管理，覆盖环境、试剂等各类质控记录并支持分组管理。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▲（7）支持改进流程追踪，可视化展示持续改进项进展状态，支持展示持续改进各环节记录详情，支持不同维度的报表展示；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（8）支持对各类质控不合格项发起持续改进，支持按专业组/岗位指派质控任务；</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（9）支持进行试剂、设备等不良事件记录管理功能，对不良事件说明记录、影响，同时对于纠正措施及纠正措施执行情况进行记录管理。</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2.10管理评审模块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（1）支持CNAS要求的管理评审全流程闭环管理，预设符合CNAS指南的管理评审流程（计划→实施→输出→改进），内置标准化表单模板；</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（2）支持在系统内部直接制定并维护实验室管理评审计划，并支持对评审工作进行明确的人员和要素分工；</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（3）实施计划输入要素按ISO15189生成评审内容模板，支持按实际评审要求编辑具体内容；按评审要素上传评审报告及文件，支持编辑各评审要素对应的汇报内容；</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（4）支持评审会议全链路跟踪，支持新增管理评审会议记录并关联评审活动；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（5）支持评审报告生成与改进计划管理，按模板生成管理评审报告；</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3"/>
      </w:pPr>
      <w:r>
        <w:rPr>
          <w:rFonts w:hint="eastAsia" w:ascii="宋体" w:hAnsi="宋体"/>
          <w:b/>
          <w:bCs/>
          <w:color w:val="000000"/>
          <w:sz w:val="24"/>
          <w:szCs w:val="24"/>
          <w:highlight w:val="none"/>
        </w:rPr>
        <w:t xml:space="preserve">2.11内审管理模块</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（1）支持依照CNAS要求，从内审计划到完成内审报告的内审闭环管理，各个环节按照指南要求预设内审流程、相关表单；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（2）支持内审计划多种新增方式，支持每次内审自定义策划检查要点；</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（3）支持内审计划的预览、编辑、导出及打印；</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（4）支持新增内审实施计划，包括基本信息、审核日程安排及其他信息；支持实施明细表手动关联体系管理模块维护的核查表，科室无需二次编制。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（5）支持新增会议记录，支持会议与评审活动关联，支持会议记录基本信息的编辑及会议附件上传管理；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（6）支持内审员填写评审说明，包括评审结果，不符合分级及评审结果说明；</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（7）内审核查条款的评审结果支持不符合分级及样式自定义，如不符合项强提醒；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支持与认可迎检系统进行深度数据交互，条款自查数据和佐证材料可以直接提交至内审系统作为内审的直接证据，内审全过程无需进行二次材料上传，且能自动与电子记录系统交互启动不符合项的整改流程监控；</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（9）支持内审不符合项的查看、维护，支持跟进内审不符合项的报告和纠正措施全流程管理；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（10）支持内审不符合记录和纠正措施记录环节自定义，支持从不符合事实描述、应急措施、制定纠正措施、实施纠正措施、措施跟踪验证、审批意见等多环节记录；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（11）支持内审不符合项发起持续改进，从而实现闭环管理；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（12）支持按模板生成内审报告，包括报告概述、会议记录、过程记录、不符合项、结论、意见等核心内容。</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3、病理玻片智能整板识别系统（包括玻片批量识别算法）</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（1）800万像素视觉二维码识别成像装置；</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（2）传感器尺寸</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8 mm x 5mm；</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（3）最高分辨率：3856H × 2176V；</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（4）镜头：8±5%mm；</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（5）整板识别时间2S；</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（6）最大玻片板层数10层；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（7）最大识别高度440mm；</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（8）视觉识别标识时间：100ms；</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（9）一体成型识别底座；</w:t>
      </w:r>
      <w:r>
        <w:rPr>
          <w:rFonts w:hint="eastAsia" w:ascii="宋体" w:hAnsi="宋体"/>
          <w:color w:val="000000"/>
          <w:sz w:val="24"/>
          <w:szCs w:val="24"/>
          <w:highlight w:val="none"/>
        </w:rPr>
      </w:r>
      <w:r/>
    </w:p>
    <w:p>
      <w:pPr>
        <w:pStyle w:val="821"/>
        <w:ind w:firstLine="482"/>
        <w:spacing w:line="360" w:lineRule="auto"/>
        <w:rPr>
          <w:rFonts w:ascii="宋体" w:hAnsi="宋体"/>
          <w:b/>
          <w:bCs/>
          <w:color w:val="000000"/>
          <w:sz w:val="24"/>
          <w:szCs w:val="24"/>
          <w:highlight w:val="none"/>
        </w:rPr>
        <w:outlineLvl w:val="2"/>
      </w:pPr>
      <w:r/>
      <w:bookmarkStart w:id="490" w:name="_Toc26229"/>
      <w:r>
        <w:rPr>
          <w:rFonts w:hint="eastAsia" w:ascii="宋体" w:hAnsi="宋体"/>
          <w:b/>
          <w:bCs/>
          <w:color w:val="000000"/>
          <w:sz w:val="24"/>
          <w:szCs w:val="24"/>
          <w:highlight w:val="none"/>
        </w:rPr>
        <w:t xml:space="preserve">4、触控云屏及支架</w:t>
      </w:r>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（1）屏幕比例16:9，分辨率3840×2160，支持D-LED背光、60Hz扫描频率、8ms响应；</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（2）4K高清防眩光屏，178度可视角度，≥80%NTSC，表面硬度7H，单面喷涂AG，透过率≥88%；</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★（3）电脑系统配备不低于I5 11代，16GB内存，512GB SSD，预装正版Win10专业版64位；</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（4）1mm书写精度，20点红外触控，支持4 级面积识别，满足屏幕书写、批注、擦除等各类功能；</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（5）支持有线、无线、NFC多方式投屏，Android &amp; Windows双系统运行，一键完成系统切换。具备USB3.0接口、HDMI输入输出接口、Type-C接口；</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（6）1000M全双工和半双工网络接口，支持IP网络透传，具备Wi-Fi6传输，支持2×2 双路Wi-Fi 技术，支持双天线，支持2.4GHz 和5GHz 双频无线Wi-Fi 通信方式；</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（7）交流电源输入接口，100V～240V AC，50/60Hz；</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（8）整机功率≤550W，待机功率≤0.5W；</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（9）裸机尺寸1953.4mm ×1180.5mm × 96.5mm，工作温度5℃~35℃，工作湿度20%～80%RH；</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（10）标配触控笔×2、无线传屏器、电源线、壁挂支架、OPS模块。</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bookmarkEnd w:id="490"/>
      <w:r/>
      <w:bookmarkStart w:id="491" w:name="_Toc16178"/>
      <w:r>
        <w:rPr>
          <w:rFonts w:hint="eastAsia" w:ascii="宋体" w:hAnsi="宋体"/>
          <w:b/>
          <w:bCs/>
          <w:color w:val="000000"/>
          <w:sz w:val="24"/>
          <w:szCs w:val="24"/>
          <w:highlight w:val="none"/>
        </w:rPr>
        <w:t xml:space="preserve">5、触控一体机</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（1）工业级触控一体机，前面板符合IP65防尘防水标准</w:t>
      </w:r>
      <w:r>
        <w:rPr>
          <w:rFonts w:hint="eastAsia" w:ascii="宋体" w:hAnsi="宋体"/>
          <w:color w:val="000000"/>
          <w:sz w:val="24"/>
          <w:szCs w:val="24"/>
          <w:highlight w:val="none"/>
        </w:rPr>
      </w:r>
      <w:r/>
    </w:p>
    <w:p>
      <w:pPr>
        <w:pStyle w:val="821"/>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★（2）处理器：不低于Intel I7-8565U或提供同等性能的其他品牌处理器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需</w:t>
      </w:r>
      <w:r>
        <w:rPr>
          <w:rFonts w:hint="eastAsia" w:ascii="宋体" w:hAnsi="宋体"/>
          <w:color w:val="000000"/>
          <w:sz w:val="24"/>
          <w:szCs w:val="24"/>
          <w:highlight w:val="none"/>
        </w:rPr>
        <w:t xml:space="preserve">提供性能对比证明材料。</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★（3）RAM：8GB</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★（4）存储：512G SSD</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（5）屏幕：15.6''TFT LCD，1920*1080，220cd/m²，全平面十点投射式电容屏</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（6）接口：4USB+2LAN口，WIFI+蓝牙，扬声器+麦克风</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（7）操作系统：正版Win10专业版操作系统</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bookmarkEnd w:id="491"/>
      <w:r/>
      <w:bookmarkStart w:id="492" w:name="_Toc25474"/>
      <w:r>
        <w:rPr>
          <w:rFonts w:hint="eastAsia" w:ascii="宋体" w:hAnsi="宋体"/>
          <w:b/>
          <w:bCs/>
          <w:color w:val="000000"/>
          <w:sz w:val="24"/>
          <w:szCs w:val="24"/>
          <w:highlight w:val="none"/>
        </w:rPr>
        <w:t xml:space="preserve">6、触控一体机支架</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（1）产品尺寸（mm）：382*281*95</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（2）适用vesa孔距（mm）：75x75mm; 100x100mm</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（3）产品净重（kg）：2.2</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（4）架底座尺寸（长x宽x高）：90.4*106.7mm</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（5）适用承重范围（kg）：2-9</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（6）升降范围（mm）：250</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（7）适用桌面厚度（mm）：10-90</w:t>
      </w:r>
      <w:r>
        <w:rPr>
          <w:rFonts w:hint="eastAsia" w:ascii="宋体" w:hAnsi="宋体"/>
          <w:color w:val="000000"/>
          <w:sz w:val="24"/>
          <w:szCs w:val="24"/>
          <w:highlight w:val="none"/>
        </w:rPr>
      </w:r>
      <w:r/>
    </w:p>
    <w:p>
      <w:pPr>
        <w:pStyle w:val="821"/>
        <w:ind w:firstLine="482"/>
        <w:spacing w:line="360" w:lineRule="auto"/>
        <w:rPr>
          <w:rFonts w:ascii="宋体" w:hAnsi="宋体"/>
          <w:b/>
          <w:bCs/>
          <w:color w:val="000000"/>
          <w:sz w:val="24"/>
          <w:szCs w:val="24"/>
          <w:highlight w:val="none"/>
        </w:rPr>
        <w:outlineLvl w:val="2"/>
      </w:pPr>
      <w:r/>
      <w:bookmarkEnd w:id="492"/>
      <w:r/>
      <w:bookmarkStart w:id="493" w:name="_Toc28204"/>
      <w:r>
        <w:rPr>
          <w:rFonts w:hint="eastAsia" w:ascii="宋体" w:hAnsi="宋体"/>
          <w:b/>
          <w:bCs/>
          <w:color w:val="000000"/>
          <w:sz w:val="24"/>
          <w:szCs w:val="24"/>
          <w:highlight w:val="none"/>
        </w:rPr>
        <w:t xml:space="preserve">7、条码扫描枪及支架</w:t>
      </w:r>
      <w:r>
        <w:rPr>
          <w:rFonts w:ascii="宋体" w:hAnsi="宋体"/>
          <w:b/>
          <w:bCs/>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（1）图像传感器：像素分辨率≥1280×800像素。</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（2）多色补光灯源：光源须具备出厂集成设计，支持白色、红色、蓝色等多色智能补光</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（3）识读精度与对比度：支持的条码最小识读精度≥3.33mil；支持的最小识读对比度低至20%。</w:t>
      </w:r>
      <w:r>
        <w:rPr>
          <w:rFonts w:ascii="宋体" w:hAnsi="宋体"/>
          <w:color w:val="000000"/>
          <w:sz w:val="24"/>
          <w:szCs w:val="24"/>
          <w:highlight w:val="none"/>
        </w:rPr>
      </w:r>
      <w:r/>
    </w:p>
    <w:p>
      <w:pPr>
        <w:pStyle w:val="821"/>
        <w:ind w:firstLine="420"/>
        <w:jc w:val="left"/>
        <w:keepLines w:val="0"/>
        <w:keepNext w:val="0"/>
        <w:widowControl/>
        <w:rPr>
          <w:rFonts w:hint="eastAsia" w:ascii="宋体" w:hAnsi="宋体" w:eastAsia="宋体" w:cs="Times New Roman"/>
          <w:color w:val="000000"/>
          <w:sz w:val="24"/>
          <w:szCs w:val="24"/>
          <w:highlight w:val="none"/>
        </w:rPr>
        <w:suppressLineNumbers w:val="0"/>
      </w:pPr>
      <w:r>
        <w:rPr>
          <w:rFonts w:hint="eastAsia" w:ascii="宋体" w:hAnsi="宋体"/>
          <w:color w:val="000000"/>
          <w:sz w:val="24"/>
          <w:szCs w:val="24"/>
          <w:highlight w:val="none"/>
        </w:rPr>
        <w:t xml:space="preserve">（4）扫描角度覆盖：支持超宽范围的识读扫描角度，</w:t>
      </w:r>
      <w:r>
        <w:rPr>
          <w:rFonts w:hint="eastAsia" w:ascii="宋体" w:hAnsi="宋体" w:eastAsia="宋体" w:cs="Times New Roman"/>
          <w:color w:val="000000"/>
          <w:sz w:val="24"/>
          <w:szCs w:val="24"/>
          <w:highlight w:val="none"/>
          <w:lang w:val="en-US" w:eastAsia="zh-CN" w:bidi="ar"/>
        </w:rPr>
        <w:t xml:space="preserve">满足病理科实际扫码作业场 </w:t>
      </w:r>
      <w:r>
        <w:rPr>
          <w:rFonts w:hint="eastAsia" w:ascii="宋体" w:hAnsi="宋体" w:eastAsia="宋体" w:cs="Times New Roman"/>
          <w:color w:val="000000"/>
          <w:sz w:val="24"/>
          <w:szCs w:val="24"/>
          <w:highlight w:val="none"/>
        </w:rPr>
      </w:r>
      <w:r/>
    </w:p>
    <w:p>
      <w:pPr>
        <w:pStyle w:val="821"/>
        <w:jc w:val="left"/>
        <w:keepLines w:val="0"/>
        <w:keepNext w:val="0"/>
        <w:widowControl/>
        <w:rPr>
          <w:rFonts w:hint="eastAsia" w:ascii="宋体" w:hAnsi="宋体" w:eastAsia="宋体" w:cs="Times New Roman"/>
          <w:color w:val="000000"/>
          <w:sz w:val="24"/>
          <w:szCs w:val="24"/>
          <w:highlight w:val="none"/>
          <w:lang w:val="en-US"/>
        </w:rPr>
        <w:suppressLineNumbers w:val="0"/>
      </w:pPr>
      <w:r>
        <w:rPr>
          <w:rFonts w:hint="eastAsia" w:ascii="宋体" w:hAnsi="宋体" w:eastAsia="宋体" w:cs="Times New Roman"/>
          <w:color w:val="000000"/>
          <w:sz w:val="24"/>
          <w:szCs w:val="24"/>
          <w:highlight w:val="none"/>
          <w:lang w:val="en-US" w:eastAsia="zh-CN" w:bidi="ar"/>
        </w:rPr>
        <w:t xml:space="preserve">景的通用角度范围需要。</w:t>
      </w:r>
      <w:r>
        <w:rPr>
          <w:rFonts w:hint="eastAsia" w:ascii="宋体" w:hAnsi="宋体" w:eastAsia="宋体" w:cs="Times New Roman"/>
          <w:color w:val="000000"/>
          <w:sz w:val="24"/>
          <w:szCs w:val="24"/>
          <w:highlight w:val="none"/>
          <w:lang w:val="en-US"/>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（5）全码制支持：一维码：必须完整支持 Codabar, Code 11, Cod</w:t>
      </w:r>
      <w:r>
        <w:rPr>
          <w:rFonts w:hint="eastAsia" w:ascii="宋体" w:hAnsi="宋体"/>
          <w:color w:val="000000"/>
          <w:sz w:val="24"/>
          <w:szCs w:val="24"/>
          <w:highlight w:val="none"/>
        </w:rPr>
        <w:t xml:space="preserve">e 128, Code 32, Code 39, Code 93, EAN 13, EAN 8, UPC-A, UPC-E, IATA 2 of 5, Interleaved 2 of 5, Matrix 2 of 5, Straight 2 of 5, MSI/Plessey, GS1 DataBar 等主流及特种一维码制；二维码：必须完整支持 Aztec, Data Matrix, MicroPDF 417, PDF 417, QR, Micro QR, Grid Matrix 等主流及高密度二维码制。</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（6）防护等级：IP52</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（7）跌落等级：1.8米水泥地</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（8）抗静电干扰素力，支持空气放电 ≥±15KV，接触放电≥±8KV</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正常工作温度范围支持</w:t>
      </w:r>
      <w:r>
        <w:rPr>
          <w:rFonts w:hint="eastAsia" w:ascii="宋体" w:hAnsi="宋体"/>
          <w:color w:val="000000"/>
          <w:sz w:val="24"/>
          <w:szCs w:val="24"/>
          <w:highlight w:val="none"/>
        </w:rPr>
        <w:t xml:space="preserve">0℃~50℃；储存温度：-20℃~70℃；湿度：5%～95%（无结露）</w:t>
      </w:r>
      <w:r>
        <w:rPr>
          <w:rFonts w:hint="eastAsia" w:ascii="宋体" w:hAnsi="宋体"/>
          <w:color w:val="000000"/>
          <w:sz w:val="24"/>
          <w:szCs w:val="24"/>
          <w:highlight w:val="none"/>
        </w:rPr>
      </w:r>
      <w:r/>
    </w:p>
    <w:p>
      <w:pPr>
        <w:pStyle w:val="821"/>
        <w:ind w:firstLine="482"/>
        <w:spacing w:line="360" w:lineRule="auto"/>
        <w:rPr>
          <w:rFonts w:ascii="宋体" w:hAnsi="宋体"/>
          <w:b/>
          <w:bCs/>
          <w:color w:val="000000"/>
          <w:sz w:val="24"/>
          <w:szCs w:val="24"/>
          <w:highlight w:val="none"/>
        </w:rPr>
        <w:outlineLvl w:val="2"/>
      </w:pPr>
      <w:r/>
      <w:bookmarkEnd w:id="493"/>
      <w:r/>
      <w:bookmarkStart w:id="494" w:name="_Toc7628"/>
      <w:r>
        <w:rPr>
          <w:rFonts w:hint="eastAsia" w:ascii="宋体" w:hAnsi="宋体"/>
          <w:b/>
          <w:bCs/>
          <w:color w:val="000000"/>
          <w:sz w:val="24"/>
          <w:szCs w:val="24"/>
          <w:highlight w:val="none"/>
        </w:rPr>
        <w:t xml:space="preserve">8、标签打印机</w:t>
      </w:r>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（1）打印分辨率：支持高精度热敏/热转印打印，标准分辨率≥300 dpi</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（2）最高打印速度：在 300 dpi 分辨率下，最高打印速度≥6 英寸/秒（152 毫米/秒）</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（3）最大打印宽度≥4.09 英寸（104 毫米），满足标准 4 英寸标签打印需求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（4）介质兼容性：支持卷筒纸、模切纸、连续纸、黑标纸、折叠纸、标签纸（制模或连续）及标牌纸等多种介质类型。</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（5）接口：具备≥1 个标准 USB 2.0 高速接口；具备≥1 个 USB 主机（USB Host） 接口，支持直接连接外设或 U 盘更新固件；具备≥ 1 个标准 RJ-45 内置以太网（千兆/百兆） 接口，支持网络共享打印；具备≥ 1 个串行接口（RS-232 串口）</w:t>
      </w:r>
      <w:r>
        <w:rPr>
          <w:rFonts w:hint="eastAsia"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）配备 4.3 英寸全彩触摸屏显示器（彩色 LCD 显示屏）</w:t>
      </w:r>
      <w:r>
        <w:rPr>
          <w:rFonts w:ascii="宋体" w:hAnsi="宋体"/>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）碳带/色带兼容规格：支持大容量碳带装载，最高可支持 300 米（984 英尺） 的长碳带卷，且同时支持 1 英寸和 0.5 英寸的核心轴规格</w:t>
      </w:r>
      <w:r>
        <w:rPr>
          <w:rFonts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）电源自适应范围：100-240 VAC，50-60 Hz。</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rPr>
          <w:rFonts w:hint="eastAsia" w:ascii="宋体" w:hAnsi="宋体"/>
          <w:b/>
          <w:bCs/>
          <w:color w:val="000000"/>
          <w:sz w:val="24"/>
          <w:szCs w:val="24"/>
          <w:highlight w:val="none"/>
        </w:rPr>
        <w:t xml:space="preserve">9、高拍仪</w:t>
      </w:r>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（1）扫描元件：CMOS；像素：1500万；光学分辨率：4416×3312dpi；扫描速度：1秒；接口类：USB3.0，向下兼容USB2.0；扫描光源：自然光+LED补光灯（带360°广角透镜，1W大功率）；扫描镜头；对焦模式：自动对焦。</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bookmarkEnd w:id="494"/>
      <w:r/>
      <w:bookmarkStart w:id="495" w:name="_Toc16480"/>
      <w:r>
        <w:rPr>
          <w:rFonts w:hint="eastAsia" w:ascii="宋体" w:hAnsi="宋体"/>
          <w:b/>
          <w:bCs/>
          <w:color w:val="000000"/>
          <w:sz w:val="24"/>
          <w:szCs w:val="24"/>
          <w:highlight w:val="none"/>
        </w:rPr>
        <w:t xml:space="preserve">10、ISO 15189认可咨询服务</w:t>
      </w:r>
      <w:bookmarkEnd w:id="495"/>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（1）结合项目实际情况为病理科制定相应的工作方案，指导并协助完成每个阶段的具体工作，确保病理科每个专业组知晓工作内容，并按计划的进度及时推进ISO15189认可申请的每项具体工作。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（2）指导、协助病理科完成组织结构策划、人员培训、资质确认和文件编制等工作，指导病理科完成设备的校准、检测系统性能验证工作，组织试运行、内审、管理评审，组织相关专家进行预评审等。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（3）专家团队线上指导实验室自查和内部审核</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（4）现场/线上指导次数：专家团队/项目组成员现场指导 4 次，每次 1-2 天。</w:t>
      </w:r>
      <w:r>
        <w:rPr>
          <w:rFonts w:hint="eastAsia" w:ascii="宋体" w:hAnsi="宋体"/>
          <w:color w:val="000000"/>
          <w:sz w:val="24"/>
          <w:szCs w:val="24"/>
          <w:highlight w:val="none"/>
        </w:rPr>
      </w:r>
      <w:r/>
    </w:p>
    <w:p>
      <w:pPr>
        <w:pStyle w:val="821"/>
        <w:ind w:firstLine="482"/>
        <w:spacing w:line="360" w:lineRule="auto"/>
        <w:rPr>
          <w:rFonts w:hint="eastAsia" w:ascii="宋体" w:hAnsi="宋体"/>
          <w:b/>
          <w:bCs/>
          <w:color w:val="000000"/>
          <w:sz w:val="24"/>
          <w:szCs w:val="24"/>
          <w:highlight w:val="none"/>
        </w:rPr>
        <w:outlineLvl w:val="2"/>
      </w:pPr>
      <w:r/>
      <w:bookmarkStart w:id="496" w:name="_Toc5694"/>
      <w:r>
        <w:rPr>
          <w:rFonts w:hint="eastAsia" w:ascii="宋体" w:hAnsi="宋体"/>
          <w:b/>
          <w:bCs/>
          <w:color w:val="000000"/>
          <w:sz w:val="24"/>
          <w:szCs w:val="24"/>
          <w:highlight w:val="none"/>
        </w:rPr>
        <w:t xml:space="preserve">10、其他要求</w:t>
      </w:r>
      <w:bookmarkEnd w:id="496"/>
      <w:r>
        <w:rPr>
          <w:rFonts w:hint="eastAsia"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以上软件模块需能与现有病理信息系统进行交换和接收：包含但不限于完成发送蜡块信息（病人编号、病人姓名、性别、医生编号、医生姓名、项目、蜡块号、切片号、标本类型）；重切、深切等标记信息；在取材扫描核对后，发送取材操作人员信息、切片操作人员及状态标记到现有病理信息系统；接收与验证冰冻标签的编号信息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★（2）以上软件模块需符合医院集成规范，通过医院信息平台实现与医院现有病理信息系统的对接，并实现与医院现有信息系统的接口对接及互联与互通和信息共享（</w:t>
      </w:r>
      <w:r>
        <w:rPr>
          <w:rFonts w:hint="eastAsia" w:ascii="宋体" w:hAnsi="宋体"/>
          <w:color w:val="000000"/>
          <w:sz w:val="24"/>
          <w:szCs w:val="24"/>
          <w:highlight w:val="none"/>
          <w:lang w:val="en-US" w:eastAsia="zh-CN"/>
        </w:rPr>
        <w:t xml:space="preserve">须单独</w:t>
      </w:r>
      <w:r>
        <w:rPr>
          <w:rFonts w:hint="eastAsia" w:ascii="宋体" w:hAnsi="宋体"/>
          <w:color w:val="000000"/>
          <w:sz w:val="24"/>
          <w:szCs w:val="24"/>
          <w:highlight w:val="none"/>
        </w:rPr>
        <w:t xml:space="preserve">提供承诺书原件加盖投标人公章，格式自拟）。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★（3）国产版本升级兼容性及费用界定</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免费升级范围界定：投标人所提供的“免费升级至国产化环境”服务，仅限于本次招标范围内的“病理全流程系统”本身。投标人应确保升级后的全流程系统，能够与采购人现已在用的“原有病理报告系统”实现无缝对接与数据互通。</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存量系统兼容性承诺：投标人需承诺，在进行全流程系统国产化信息改造时，不得以技术不兼容、架构不匹配为由，要求采购人对现用的病理报告系统进行付费改造或强制升级。因合理的功能对接需求需要现有病理系统对接口进行升级和改造的，采购人协调投标人与现有病理系统协商对接。若因全流程系统国产化改造导致原有报告系统无法正常使用，投标人应负责免费修复接口或提供兼容性补丁，确保两套系统协同工作（</w:t>
      </w:r>
      <w:r>
        <w:rPr>
          <w:rFonts w:hint="eastAsia" w:ascii="宋体" w:hAnsi="宋体"/>
          <w:color w:val="000000"/>
          <w:sz w:val="24"/>
          <w:szCs w:val="24"/>
          <w:highlight w:val="none"/>
          <w:lang w:val="en-US" w:eastAsia="zh-CN"/>
        </w:rPr>
        <w:t xml:space="preserve">须单独</w:t>
      </w:r>
      <w:r>
        <w:rPr>
          <w:rFonts w:hint="eastAsia" w:ascii="宋体" w:hAnsi="宋体"/>
          <w:color w:val="000000"/>
          <w:sz w:val="24"/>
          <w:szCs w:val="24"/>
          <w:highlight w:val="none"/>
        </w:rPr>
        <w:t xml:space="preserve">提供承诺书原件加盖投标人公章，格式自拟）。</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单方升级免责：若采购人未来仅针对“原有病理报告系统”进行独立国产化改造，或采购人自行更换其他品牌报告系统，本项目中标人需配合进行接口改造，届时产生的费用由中标人承担。</w:t>
      </w:r>
      <w:r>
        <w:rPr>
          <w:rFonts w:hint="eastAsia" w:ascii="宋体" w:hAnsi="宋体"/>
          <w:color w:val="000000"/>
          <w:sz w:val="24"/>
          <w:szCs w:val="24"/>
          <w:highlight w:val="none"/>
        </w:rPr>
      </w:r>
      <w:r/>
    </w:p>
    <w:p>
      <w:pPr>
        <w:pStyle w:val="821"/>
        <w:ind w:firstLine="482"/>
        <w:spacing w:line="360" w:lineRule="auto"/>
        <w:rPr>
          <w:rFonts w:ascii="宋体" w:hAnsi="宋体"/>
          <w:b/>
          <w:bCs/>
          <w:color w:val="000000"/>
          <w:sz w:val="24"/>
          <w:szCs w:val="24"/>
          <w:highlight w:val="none"/>
        </w:rPr>
        <w:outlineLvl w:val="0"/>
      </w:pPr>
      <w:r/>
      <w:bookmarkStart w:id="497" w:name="_Toc11221"/>
      <w:r>
        <w:rPr>
          <w:rFonts w:hint="eastAsia" w:ascii="宋体" w:hAnsi="宋体"/>
          <w:b/>
          <w:bCs/>
          <w:color w:val="000000"/>
          <w:sz w:val="24"/>
          <w:szCs w:val="24"/>
          <w:highlight w:val="none"/>
        </w:rPr>
        <w:t xml:space="preserve">四、商务要求</w:t>
      </w:r>
      <w:bookmarkEnd w:id="497"/>
      <w:r>
        <w:rPr>
          <w:rFonts w:ascii="宋体" w:hAnsi="宋体"/>
          <w:b/>
          <w:bCs/>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★1、交货期：合同签订后</w:t>
      </w:r>
      <w:r>
        <w:rPr>
          <w:rFonts w:hint="eastAsia" w:ascii="宋体" w:hAnsi="宋体"/>
          <w:color w:val="000000"/>
          <w:sz w:val="24"/>
          <w:szCs w:val="24"/>
          <w:highlight w:val="none"/>
          <w:lang w:val="en-US" w:eastAsia="zh-CN"/>
        </w:rPr>
        <w:t xml:space="preserve">90</w:t>
      </w:r>
      <w:r>
        <w:rPr>
          <w:rFonts w:hint="eastAsia" w:ascii="宋体" w:hAnsi="宋体"/>
          <w:color w:val="000000"/>
          <w:sz w:val="24"/>
          <w:szCs w:val="24"/>
          <w:highlight w:val="none"/>
        </w:rPr>
        <w:t xml:space="preserve">天内完成安装调试，达到预期效果。</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2、交货方式：上门安装。</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3、交货地点：采购人指定地点。</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4、安装调试要求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中标人需提供专业安装调试团队，团队成员涵盖精通相关技术的工程师以及具备良好协调能力的项目管理人员。在项目启动初期，依据项目规模与复杂程度，制定详尽周全的安装调试计划，明确各阶段的时间节点并合理配置人力、物力与技术资源，充分考虑可能出现的风险，如技术难题、设备兼容性问题以及外部环境干扰等，制定相应的风险应对预案。</w:t>
      </w:r>
      <w:r>
        <w:rPr>
          <w:rFonts w:hint="eastAsia" w:ascii="宋体" w:hAnsi="宋体"/>
          <w:color w:val="000000"/>
          <w:sz w:val="24"/>
          <w:szCs w:val="24"/>
          <w:highlight w:val="none"/>
          <w:lang w:val="zh-CN"/>
        </w:rPr>
      </w:r>
      <w:r/>
    </w:p>
    <w:p>
      <w:pPr>
        <w:pStyle w:val="821"/>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2）进行软件系统的部署与调试。在功能部署前，向采购人提交精确的工作量评估单，清晰界定预计完成时间，并严格按照进度计划推进开发工作。部署完成后，进行全面的系统测试，包括功能测试、性能测试、稳定性测试、兼容性测试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zh-CN"/>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（3）安装调试工作全部结束后，在质保期内提供的咨询与全面的技术支持服务，确保系统始终处于最佳运行状态，满足采购人的业务需求与使用期望。</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5、国家或行业相关规范标准</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《三级综合医院评审标准实施细则》</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《卫生信息互联互通标准化成熟度测评工作管理办法》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《电子病历基本规范》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《医院信息平台基本交互规范》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《医院信息系统基本功能规范》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《远程医疗信息系统基本功能规范》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《卫生信息基本数据集编制规范》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《计算机软件文档编制规范》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《病历书写基本规范》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《信息安全等级保护管理办法》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《临床技术操作规范》</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《医疗机构管理条例》</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《中华人民共和国医师法》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《医疗机构临床病理科建设与管理指南》</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《临床技术操作规范—病理学分册》</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《2025年江苏省临床重点专科评审方案》中独立的考核条款</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CNAS-CL02:2023《医学实验室质量和能力认可准则》</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《医学实验室质量和能力认可准则的应用要求》CNAS-CL02-A001:2023</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《三级医院评审标准（2025年版）》</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《临床技术操作规范病理学分册》</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《病理科建设与管理指南（试行）》（卫办医政发〔2009〕31号 ）</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6、人员配备要求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投标人成立专门的项目组（包括但不限于项目负责人、售后工程师、公司技术支持团队）开展工作，指派售后专人负责，按时完成工作内容。</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7、履约验收要求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实施完成后，将项目软件安装调试完毕、系统集成完毕后交付使用，并对用户进行全面培训与实施维护培训后方可申请验收。中标人应按医院项目验收管理要求提供系统的相关验收文档，包括但不限于用户使用手册、安装文档等相关资料，并且实现数据标准化接入平台。验收合格后，用户在验收单上签字并加盖单位公章。</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8、培训要求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人提供详细技术资料对采购人相关人员进行操作、系统培训，确保使用人员熟练掌握各种软件的使用方法、操作要领以及小故障排除办法。培训的内容、地点及频次应由双方协商制定，培训的相关费用均包含在本次投标报价中。</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中标人需向采购人提供院内现有科室入科培训，针对后续升级改造功能需提供最新功能操作手册，必要时提供操作视频。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9、售后服务要求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★（1）质保期：验收合格起一年。</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★（2）质保期间，中标人承担维修、保养、安检、调换等，相关费用包含在预算内，采购方不再支付任何费用；对于采购人人为原因造成的故障，中标人只收取维保成本费用。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（3）质保期内，提供基本（每季度1次）定期巡查维护服务，定期维护服务内容包括：检查系统软件、后台服务、数据库运行状况等。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质保期内，应向采购人提供每周7×24小时售后技术支持服务，开通热线电话接受采购人的电话技术咨询，解答用户在系统使用、维护过程中遇到的问题，30分钟内进行技术响应。由于中标人产品服务造成系统瘫痪或反应速度超过系统设计的指标等通过远程方式无法排除的故障，中标人及时派遣工程师到达现场处理，恢复系统正常运行。对应用软件运行中出现的其他问题进行远程或现场的支持维护。系统BUG应立即响应，一周内修改调试完毕。</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（5）质保期内，如遇软件产品升级、改版，中标人负责提供更新、升级。</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（6）保证数据及运行安全，为保证数据质量及使用安全要求，所采用系统应具有数据治理及数据安全保障能力。为保证系统运行的稳定，要求具有较高的系统运行维护服务能力。</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（7）投标人应具备突发状况下的应急响应及抢修的能力，建立专业团队，制定具体的应急方案。</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10、投标报价要求</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报价应包含与本次采购项目有关的所有费用，包含但不限于人员、设备、安装调试对接、验收、接口费、售后服务、伴随配套服务等所有含税费用。同时，还应包含支付给员工的工资和国家强制缴纳的各种社会保障资金，以及供应商认为需要的其他费用等。</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特别提醒投标人：</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11、付款方式与履约保证金</w:t>
      </w:r>
      <w:r>
        <w:rPr>
          <w:rFonts w:hint="eastAsia" w:ascii="宋体" w:hAnsi="宋体"/>
          <w:color w:val="000000"/>
          <w:sz w:val="24"/>
          <w:szCs w:val="24"/>
          <w:highlight w:val="none"/>
        </w:rPr>
      </w:r>
      <w:r/>
    </w:p>
    <w:p>
      <w:pPr>
        <w:pStyle w:val="82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★（1）付款方式：合同签订后，采购人支付合同金额的30%；</w:t>
      </w:r>
      <w:r>
        <w:rPr>
          <w:rFonts w:hint="eastAsia" w:ascii="宋体" w:hAnsi="宋体" w:eastAsia="宋体" w:cs="Times New Roman"/>
          <w:color w:val="000000"/>
          <w:sz w:val="24"/>
          <w:szCs w:val="24"/>
          <w:highlight w:val="none"/>
        </w:rPr>
        <w:t xml:space="preserve">系统正式上线运行后，经采购人确认所有模块功能完备、运行状态稳定且满足合同约定的技术规格与业务需求，</w:t>
      </w:r>
      <w:r>
        <w:rPr>
          <w:rFonts w:hint="eastAsia" w:ascii="宋体" w:hAnsi="宋体"/>
          <w:color w:val="000000"/>
          <w:sz w:val="24"/>
          <w:szCs w:val="24"/>
          <w:highlight w:val="none"/>
        </w:rPr>
        <w:t xml:space="preserve">中标人提供上线运行报告，</w:t>
      </w:r>
      <w:r>
        <w:rPr>
          <w:rFonts w:hint="eastAsia" w:ascii="宋体" w:hAnsi="宋体" w:eastAsia="宋体" w:cs="Times New Roman"/>
          <w:color w:val="000000"/>
          <w:sz w:val="24"/>
          <w:szCs w:val="24"/>
          <w:highlight w:val="none"/>
        </w:rPr>
        <w:t xml:space="preserve">双方共同签署</w:t>
      </w:r>
      <w:r>
        <w:rPr>
          <w:rFonts w:hint="eastAsia" w:ascii="宋体" w:hAnsi="宋体" w:eastAsia="宋体" w:cs="Times New Roman"/>
          <w:color w:val="000000"/>
          <w:sz w:val="24"/>
          <w:szCs w:val="24"/>
          <w:highlight w:val="none"/>
          <w:lang w:val="en-US" w:eastAsia="zh-CN"/>
        </w:rPr>
        <w:t xml:space="preserve">后</w:t>
      </w:r>
      <w:r>
        <w:rPr>
          <w:rFonts w:hint="eastAsia" w:ascii="宋体" w:hAnsi="宋体" w:eastAsia="宋体" w:cs="Times New Roman"/>
          <w:color w:val="000000"/>
          <w:sz w:val="24"/>
          <w:szCs w:val="24"/>
          <w:highlight w:val="none"/>
        </w:rPr>
        <w:t xml:space="preserve">，采购人支付合同</w:t>
      </w:r>
      <w:r>
        <w:rPr>
          <w:rFonts w:hint="eastAsia" w:ascii="宋体" w:hAnsi="宋体" w:eastAsia="宋体" w:cs="Times New Roman"/>
          <w:color w:val="000000"/>
          <w:sz w:val="24"/>
          <w:szCs w:val="24"/>
          <w:highlight w:val="none"/>
          <w:lang w:val="en-US" w:eastAsia="zh-CN"/>
        </w:rPr>
        <w:t xml:space="preserve">金额5</w:t>
      </w:r>
      <w:r>
        <w:rPr>
          <w:rFonts w:hint="eastAsia" w:ascii="宋体" w:hAnsi="宋体" w:eastAsia="宋体" w:cs="Times New Roman"/>
          <w:color w:val="000000"/>
          <w:sz w:val="24"/>
          <w:szCs w:val="24"/>
          <w:highlight w:val="none"/>
        </w:rPr>
        <w:t xml:space="preserve">0%的款项。</w:t>
      </w:r>
      <w:r>
        <w:rPr>
          <w:rFonts w:hint="eastAsia" w:ascii="宋体" w:hAnsi="宋体"/>
          <w:color w:val="000000"/>
          <w:sz w:val="24"/>
          <w:szCs w:val="24"/>
          <w:highlight w:val="none"/>
        </w:rPr>
        <w:t xml:space="preserve">当采购人正式获得中国合格评定国家认可委员会（CNAS）颁发的ISO 15189医学实验室认可证书（或等同效力的正式批准文件）后，中标人方可向采购人提交完整的《项目验收报告》，项目验收合格后，采购人付合同金额的</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 。采购人付款前，中标人应向采购人出具符合采购人要求的发票，否则中标人自行承担延迟付款的责任。（扣除违约费用后，余款支付</w:t>
      </w: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rPr>
        <w:t xml:space="preserve">；若余款不足扣除，剩余部分</w:t>
      </w: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rPr>
        <w:t xml:space="preserve">以现金方式</w:t>
      </w:r>
      <w:r>
        <w:rPr>
          <w:rFonts w:hint="eastAsia" w:ascii="宋体" w:hAnsi="宋体"/>
          <w:color w:val="000000"/>
          <w:sz w:val="24"/>
          <w:szCs w:val="24"/>
          <w:highlight w:val="none"/>
          <w:lang w:val="en-US" w:eastAsia="zh-CN"/>
        </w:rPr>
        <w:t xml:space="preserve">缴纳。</w:t>
      </w:r>
      <w:r>
        <w:rPr>
          <w:rFonts w:hint="eastAsia" w:ascii="宋体" w:hAnsi="宋体" w:eastAsia="宋体"/>
          <w:color w:val="000000"/>
          <w:sz w:val="24"/>
          <w:szCs w:val="24"/>
          <w:highlight w:val="none"/>
          <w:lang w:val="en-US" w:eastAsia="zh-CN"/>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（2）履约保证金：本项目不收取履约保证金。</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其他要求：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center"/>
        <w:keepNext/>
        <w:spacing w:line="360" w:lineRule="auto"/>
        <w:rPr>
          <w:rFonts w:hint="eastAsia" w:ascii="Times New Roman" w:hAnsi="Times New Roman"/>
          <w:color w:val="000000"/>
          <w:szCs w:val="21"/>
          <w:highlight w:val="none"/>
        </w:rPr>
        <w:outlineLvl w:val="0"/>
      </w:pPr>
      <w:r/>
      <w:bookmarkStart w:id="498" w:name="_Toc14635"/>
      <w:r/>
      <w:bookmarkStart w:id="499" w:name="_Toc23911"/>
      <w:r/>
      <w:bookmarkStart w:id="500" w:name="_Toc10394"/>
      <w:r/>
      <w:bookmarkStart w:id="501" w:name="_Toc19917"/>
      <w:r/>
      <w:bookmarkStart w:id="502" w:name="_Toc23116"/>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bookmarkEnd w:id="498"/>
      <w:r/>
      <w:bookmarkEnd w:id="499"/>
      <w:r/>
      <w:bookmarkEnd w:id="500"/>
      <w:r/>
      <w:bookmarkEnd w:id="501"/>
      <w:r/>
      <w:bookmarkEnd w:id="502"/>
      <w:r>
        <w:rPr>
          <w:rFonts w:hint="eastAsia" w:ascii="Times New Roman" w:hAnsi="Times New Roman"/>
          <w:color w:val="000000"/>
          <w:szCs w:val="21"/>
          <w:highlight w:val="none"/>
        </w:rPr>
      </w:r>
      <w:r/>
    </w:p>
    <w:p>
      <w:pPr>
        <w:pStyle w:val="821"/>
        <w:ind w:firstLine="439"/>
        <w:jc w:val="left"/>
        <w:spacing w:line="360" w:lineRule="auto"/>
        <w:rPr>
          <w:rFonts w:hint="eastAsia" w:ascii="Arial" w:hAnsi="Arial" w:cs="Arial"/>
          <w:color w:val="000000"/>
          <w:sz w:val="24"/>
          <w:szCs w:val="24"/>
          <w:highlight w:val="none"/>
        </w:rPr>
      </w:pPr>
      <w:r>
        <w:rPr>
          <w:rFonts w:hint="eastAsia" w:ascii="Arial" w:hAnsi="Arial" w:cs="Arial"/>
          <w:color w:val="000000"/>
          <w:sz w:val="24"/>
          <w:szCs w:val="24"/>
          <w:highlight w:val="none"/>
        </w:rPr>
        <w:t xml:space="preserve">本项目</w:t>
      </w:r>
      <w:r>
        <w:rPr>
          <w:rFonts w:ascii="Arial" w:hAnsi="Arial" w:cs="Arial"/>
          <w:color w:val="000000"/>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highlight w:val="none"/>
        </w:rPr>
        <w:t xml:space="preserve">。本项目选取3名中标候选人。</w:t>
      </w:r>
      <w:r>
        <w:rPr>
          <w:rFonts w:hint="eastAsia" w:ascii="Arial" w:hAnsi="Arial" w:cs="Arial"/>
          <w:color w:val="000000"/>
          <w:sz w:val="24"/>
          <w:szCs w:val="24"/>
          <w:highlight w:val="none"/>
        </w:rPr>
      </w:r>
      <w:r/>
    </w:p>
    <w:p>
      <w:pPr>
        <w:pStyle w:val="821"/>
        <w:ind w:firstLine="441"/>
        <w:jc w:val="center"/>
        <w:spacing w:line="360" w:lineRule="auto"/>
        <w:rPr>
          <w:rFonts w:hint="eastAsia" w:ascii="宋体" w:hAnsi="宋体"/>
          <w:b/>
          <w:color w:val="000000"/>
          <w:sz w:val="24"/>
          <w:szCs w:val="24"/>
          <w:highlight w:val="none"/>
        </w:rPr>
      </w:pPr>
      <w:r/>
      <w:bookmarkStart w:id="503" w:name="_Toc2560"/>
      <w:r/>
      <w:bookmarkStart w:id="504" w:name="_Toc28841"/>
      <w:r/>
      <w:bookmarkStart w:id="505" w:name="_Toc22145"/>
      <w:r>
        <w:rPr>
          <w:rFonts w:hint="eastAsia" w:ascii="宋体" w:hAnsi="宋体"/>
          <w:b/>
          <w:color w:val="000000"/>
          <w:sz w:val="24"/>
          <w:szCs w:val="24"/>
          <w:highlight w:val="none"/>
        </w:rPr>
      </w:r>
      <w:r/>
    </w:p>
    <w:p>
      <w:pPr>
        <w:pStyle w:val="821"/>
        <w:ind w:firstLine="442"/>
        <w:jc w:val="center"/>
        <w:spacing w:line="48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bookmarkEnd w:id="503"/>
      <w:r/>
      <w:bookmarkEnd w:id="504"/>
      <w:r/>
      <w:bookmarkEnd w:id="505"/>
      <w:r>
        <w:rPr>
          <w:rFonts w:hint="eastAsia" w:ascii="宋体" w:hAnsi="宋体"/>
          <w:b/>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bookmarkStart w:id="506" w:name="_Toc23678"/>
      <w:r>
        <w:rPr>
          <w:rFonts w:hint="eastAsia" w:ascii="宋体" w:hAnsi="宋体"/>
          <w:color w:val="000000"/>
          <w:sz w:val="24"/>
          <w:szCs w:val="24"/>
          <w:highlight w:val="none"/>
        </w:rPr>
        <w:t xml:space="preserve">1、小微型企业价格扣除</w:t>
      </w:r>
      <w:bookmarkEnd w:id="506"/>
      <w:r>
        <w:rPr>
          <w:rFonts w:hint="eastAsia" w:ascii="宋体" w:hAnsi="宋体"/>
          <w:color w:val="000000"/>
          <w:sz w:val="24"/>
          <w:szCs w:val="24"/>
          <w:highlight w:val="none"/>
        </w:rPr>
      </w:r>
      <w:r/>
    </w:p>
    <w:p>
      <w:pPr>
        <w:pStyle w:val="821"/>
        <w:ind w:firstLine="360"/>
        <w:jc w:val="left"/>
        <w:spacing w:line="360" w:lineRule="auto"/>
        <w:rPr>
          <w:rFonts w:hint="eastAsia" w:ascii="宋体" w:hAnsi="宋体"/>
          <w:color w:val="000000"/>
          <w:spacing w:val="-6"/>
          <w:sz w:val="24"/>
          <w:szCs w:val="24"/>
          <w:highlight w:val="none"/>
        </w:rPr>
      </w:pPr>
      <w:r>
        <w:rPr>
          <w:rFonts w:hint="eastAsia" w:ascii="宋体" w:hAnsi="宋体"/>
          <w:color w:val="000000"/>
          <w:sz w:val="24"/>
          <w:szCs w:val="24"/>
          <w:highlight w:val="none"/>
        </w:rPr>
        <w:t xml:space="preserve">（1）本</w:t>
      </w:r>
      <w:r>
        <w:rPr>
          <w:rFonts w:hint="eastAsia" w:ascii="宋体" w:hAnsi="宋体"/>
          <w:color w:val="000000"/>
          <w:spacing w:val="-6"/>
          <w:sz w:val="24"/>
          <w:szCs w:val="24"/>
          <w:highlight w:val="none"/>
        </w:rPr>
        <w:t xml:space="preserve">项目对小型和微型企业产品给予</w:t>
      </w:r>
      <w:r>
        <w:rPr>
          <w:rFonts w:hint="eastAsia" w:ascii="宋体" w:hAnsi="宋体"/>
          <w:color w:val="000000"/>
          <w:spacing w:val="-6"/>
          <w:sz w:val="24"/>
          <w:szCs w:val="24"/>
          <w:highlight w:val="none"/>
          <w:u w:val="single"/>
        </w:rPr>
        <w:t xml:space="preserve">10%</w:t>
      </w:r>
      <w:r>
        <w:rPr>
          <w:rFonts w:hint="eastAsia" w:ascii="宋体" w:hAnsi="宋体"/>
          <w:color w:val="000000"/>
          <w:spacing w:val="-6"/>
          <w:sz w:val="24"/>
          <w:szCs w:val="24"/>
          <w:highlight w:val="none"/>
        </w:rPr>
        <w:t xml:space="preserve">的扣除价格，用扣除后的价格参与评审。</w:t>
      </w:r>
      <w:r>
        <w:rPr>
          <w:rFonts w:hint="eastAsia" w:ascii="宋体" w:hAnsi="宋体"/>
          <w:color w:val="000000"/>
          <w:spacing w:val="-6"/>
          <w:sz w:val="24"/>
          <w:szCs w:val="24"/>
          <w:highlight w:val="none"/>
        </w:rPr>
      </w:r>
      <w:r/>
    </w:p>
    <w:p>
      <w:pPr>
        <w:pStyle w:val="821"/>
        <w:ind w:firstLine="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821"/>
        <w:ind w:firstLine="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bookmarkStart w:id="507" w:name="_Toc3954"/>
      <w:r>
        <w:rPr>
          <w:rFonts w:hint="eastAsia" w:ascii="宋体" w:hAnsi="宋体"/>
          <w:color w:val="000000"/>
          <w:sz w:val="24"/>
          <w:szCs w:val="24"/>
          <w:highlight w:val="none"/>
        </w:rPr>
        <w:t xml:space="preserve">2、残疾人福利单位价格扣除</w:t>
      </w:r>
      <w:bookmarkEnd w:id="507"/>
      <w:r>
        <w:rPr>
          <w:rFonts w:hint="eastAsia" w:ascii="宋体" w:hAnsi="宋体"/>
          <w:color w:val="000000"/>
          <w:sz w:val="24"/>
          <w:szCs w:val="24"/>
          <w:highlight w:val="none"/>
        </w:rPr>
      </w:r>
      <w:r/>
    </w:p>
    <w:p>
      <w:pPr>
        <w:pStyle w:val="821"/>
        <w:ind w:firstLine="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21"/>
        <w:ind w:firstLine="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21"/>
        <w:ind w:firstLine="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bookmarkStart w:id="508" w:name="_Toc30762"/>
      <w:r>
        <w:rPr>
          <w:rFonts w:hint="eastAsia" w:ascii="宋体" w:hAnsi="宋体"/>
          <w:color w:val="000000"/>
          <w:sz w:val="24"/>
          <w:szCs w:val="24"/>
          <w:highlight w:val="none"/>
        </w:rPr>
        <w:t xml:space="preserve">3、监狱和戒毒企业价格扣除</w:t>
      </w:r>
      <w:bookmarkEnd w:id="508"/>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〔2014〕68号）。</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bookmarkStart w:id="509" w:name="_Toc19065"/>
      <w:r>
        <w:rPr>
          <w:rFonts w:hint="eastAsia" w:ascii="宋体" w:hAnsi="宋体"/>
          <w:color w:val="000000"/>
          <w:sz w:val="24"/>
          <w:szCs w:val="24"/>
          <w:highlight w:val="none"/>
        </w:rPr>
        <w:t xml:space="preserve">4、残疾人福利单位、监狱企业属于小型、微型企业的，不重复享受政策。</w:t>
      </w:r>
      <w:bookmarkEnd w:id="509"/>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5、采购本国产品的支持政策</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pacing w:val="-6"/>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bCs/>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（5）政府采购中的本国产品标准及其他未尽事宜详见《国务院办公厅关于在政府采购中实施本国产品标准及相关政策的通知》（国办发〔2025〕34号）。</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rPr>
      </w:r>
      <w:r/>
    </w:p>
    <w:p>
      <w:pPr>
        <w:pStyle w:val="821"/>
        <w:ind w:firstLine="480"/>
        <w:jc w:val="left"/>
        <w:spacing w:line="360" w:lineRule="auto"/>
        <w:rPr>
          <w:rFonts w:hint="eastAsia" w:ascii="宋体" w:hAnsi="宋体"/>
          <w:b/>
          <w:color w:val="000000"/>
          <w:sz w:val="24"/>
          <w:szCs w:val="24"/>
          <w:highlight w:val="none"/>
        </w:rPr>
      </w:pPr>
      <w:r>
        <w:rPr>
          <w:rFonts w:hint="eastAsia" w:ascii="宋体" w:hAnsi="宋体"/>
          <w:color w:val="00000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510" w:name="_Toc14997"/>
      <w:r/>
      <w:bookmarkStart w:id="511" w:name="_Toc4451"/>
      <w:r/>
      <w:bookmarkStart w:id="512" w:name="_Toc11139"/>
      <w:r>
        <w:rPr>
          <w:rFonts w:hint="eastAsia" w:ascii="宋体" w:hAnsi="宋体"/>
          <w:b/>
          <w:color w:val="000000"/>
          <w:sz w:val="24"/>
          <w:szCs w:val="24"/>
          <w:highlight w:val="none"/>
        </w:rPr>
      </w:r>
      <w:r/>
    </w:p>
    <w:p>
      <w:pPr>
        <w:pStyle w:val="821"/>
        <w:ind w:firstLine="482"/>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21"/>
        <w:ind w:firstLine="482"/>
        <w:jc w:val="center"/>
        <w:spacing w:line="48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bookmarkEnd w:id="510"/>
      <w:r/>
      <w:bookmarkEnd w:id="511"/>
      <w:r/>
      <w:bookmarkEnd w:id="512"/>
      <w:r>
        <w:rPr>
          <w:rFonts w:hint="eastAsia" w:ascii="宋体" w:hAnsi="宋体"/>
          <w:b/>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 （一）评标时，评标委员会以招标文件为评标依据，评标委员会各成员独立对每个投标人的投标文件进行评价，并汇总每个投标人的得分。评标过程中，不得去掉报价中的最高报价和最低报价。</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（二）本项目评分总分为100分，按四舍五入取至小数点后两位。</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（三）总得分=价格分+商务技术分。</w:t>
      </w:r>
      <w:r>
        <w:rPr>
          <w:rFonts w:hint="eastAsia" w:ascii="Arial" w:hAnsi="Arial"/>
          <w:color w:val="000000"/>
          <w:sz w:val="24"/>
          <w:szCs w:val="24"/>
          <w:highlight w:val="none"/>
        </w:rPr>
      </w:r>
      <w:r/>
    </w:p>
    <w:p>
      <w:pPr>
        <w:pStyle w:val="821"/>
        <w:ind w:firstLine="480"/>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综合评分法</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1.价格分（30分）  </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投标报价得分=（评标基准价/投标报价）×30分</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因落实政府采购政策进行价格调整的，以调整后的价格计算评标基准价和投标报价，小数点后保留两位。评标过程中，不得去掉报价中的最高报价和最低报价。</w:t>
      </w:r>
      <w:r>
        <w:rPr>
          <w:rFonts w:hint="eastAsia" w:ascii="Arial" w:hAnsi="Arial"/>
          <w:color w:val="000000"/>
          <w:sz w:val="24"/>
          <w:szCs w:val="24"/>
          <w:highlight w:val="none"/>
        </w:rPr>
      </w:r>
      <w:r/>
    </w:p>
    <w:p>
      <w:pPr>
        <w:pStyle w:val="821"/>
        <w:ind w:firstLine="48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2.商务技术分（70分）</w:t>
      </w:r>
      <w:r>
        <w:rPr>
          <w:rFonts w:hint="eastAsia" w:ascii="Arial" w:hAnsi="Arial"/>
          <w:color w:val="000000"/>
          <w:sz w:val="24"/>
          <w:szCs w:val="24"/>
          <w:highlight w:val="none"/>
        </w:rPr>
      </w:r>
      <w:r/>
    </w:p>
    <w:tbl>
      <w:tblPr>
        <w:tblW w:w="0" w:type="auto"/>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57" w:type="dxa"/>
          <w:right w:w="57" w:type="dxa"/>
          <w:bottom w:w="0" w:type="dxa"/>
        </w:tblCellMar>
        <w:tblLook w:val="04A0" w:firstRow="1" w:lastRow="0" w:firstColumn="1" w:lastColumn="0" w:noHBand="0" w:noVBand="1"/>
      </w:tblPr>
      <w:tblGrid>
        <w:gridCol w:w="1750"/>
        <w:gridCol w:w="7109"/>
      </w:tblGrid>
      <w:tr>
        <w:trPr>
          <w:trHeight w:val="451"/>
        </w:trPr>
        <w:tc>
          <w:tcPr>
            <w:tcW w:w="1750" w:type="dxa"/>
            <w:vAlign w:val="center"/>
            <w:textDirection w:val="lrTb"/>
            <w:noWrap w:val="false"/>
          </w:tcPr>
          <w:p>
            <w:pPr>
              <w:pStyle w:val="821"/>
              <w:jc w:val="center"/>
              <w:spacing w:line="360" w:lineRule="auto"/>
              <w:rPr>
                <w:rFonts w:ascii="Arial" w:hAnsi="Arial"/>
                <w:color w:val="000000"/>
                <w:sz w:val="24"/>
                <w:szCs w:val="24"/>
                <w:highlight w:val="none"/>
              </w:rPr>
            </w:pPr>
            <w:r>
              <w:rPr>
                <w:rFonts w:hint="eastAsia" w:ascii="Arial" w:hAnsi="Arial"/>
                <w:color w:val="000000"/>
                <w:sz w:val="24"/>
                <w:szCs w:val="24"/>
                <w:highlight w:val="none"/>
              </w:rPr>
              <w:t xml:space="preserve">评审因素</w:t>
            </w:r>
            <w:r>
              <w:rPr>
                <w:rFonts w:ascii="Arial" w:hAnsi="Arial"/>
                <w:color w:val="000000"/>
                <w:sz w:val="24"/>
                <w:szCs w:val="24"/>
                <w:highlight w:val="none"/>
              </w:rPr>
            </w:r>
            <w:r/>
          </w:p>
        </w:tc>
        <w:tc>
          <w:tcPr>
            <w:tcW w:w="7109" w:type="dxa"/>
            <w:vAlign w:val="center"/>
            <w:textDirection w:val="lrTb"/>
            <w:noWrap w:val="false"/>
          </w:tcPr>
          <w:p>
            <w:pPr>
              <w:pStyle w:val="821"/>
              <w:jc w:val="center"/>
              <w:spacing w:line="360" w:lineRule="auto"/>
              <w:rPr>
                <w:rFonts w:ascii="Arial" w:hAnsi="Arial"/>
                <w:color w:val="000000"/>
                <w:sz w:val="24"/>
                <w:szCs w:val="24"/>
                <w:highlight w:val="none"/>
              </w:rPr>
            </w:pPr>
            <w:r>
              <w:rPr>
                <w:rFonts w:hint="eastAsia" w:ascii="Arial" w:hAnsi="Arial"/>
                <w:color w:val="000000"/>
                <w:sz w:val="24"/>
                <w:szCs w:val="24"/>
                <w:highlight w:val="none"/>
              </w:rPr>
              <w:t xml:space="preserve">评审标准</w:t>
            </w:r>
            <w:r>
              <w:rPr>
                <w:rFonts w:ascii="Arial" w:hAnsi="Arial"/>
                <w:color w:val="000000"/>
                <w:sz w:val="24"/>
                <w:szCs w:val="24"/>
                <w:highlight w:val="none"/>
              </w:rPr>
            </w:r>
            <w:r/>
          </w:p>
        </w:tc>
      </w:tr>
      <w:tr>
        <w:trPr>
          <w:trHeight w:val="2629"/>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知识产权</w:t>
            </w:r>
            <w:r>
              <w:rPr>
                <w:rFonts w:hint="eastAsia" w:ascii="Arial" w:hAnsi="Arial"/>
                <w:color w:val="000000"/>
                <w:sz w:val="24"/>
                <w:szCs w:val="24"/>
                <w:highlight w:val="none"/>
              </w:rPr>
            </w:r>
            <w:r/>
          </w:p>
          <w:p>
            <w:pPr>
              <w:pStyle w:val="821"/>
              <w:jc w:val="center"/>
              <w:spacing w:line="360" w:lineRule="auto"/>
              <w:rPr>
                <w:rFonts w:hint="eastAsia" w:ascii="Arial" w:hAnsi="Arial" w:eastAsia="宋体"/>
                <w:color w:val="000000"/>
                <w:sz w:val="24"/>
                <w:szCs w:val="24"/>
                <w:highlight w:val="none"/>
                <w:lang w:val="en-US" w:eastAsia="zh-CN"/>
              </w:rPr>
            </w:pPr>
            <w:r>
              <w:rPr>
                <w:rFonts w:hint="eastAsia" w:ascii="Arial" w:hAnsi="Arial"/>
                <w:color w:val="000000"/>
                <w:sz w:val="24"/>
                <w:szCs w:val="24"/>
                <w:highlight w:val="none"/>
              </w:rPr>
              <w:t xml:space="preserve">（</w:t>
            </w:r>
            <w:r>
              <w:rPr>
                <w:rFonts w:hint="eastAsia" w:ascii="Arial" w:hAnsi="Arial"/>
                <w:color w:val="000000"/>
                <w:sz w:val="24"/>
                <w:szCs w:val="24"/>
                <w:highlight w:val="none"/>
                <w:lang w:val="en-US" w:eastAsia="zh-CN"/>
              </w:rPr>
              <w:t xml:space="preserve">4</w:t>
            </w:r>
            <w:r>
              <w:rPr>
                <w:rFonts w:hint="eastAsia" w:ascii="Arial" w:hAnsi="Arial"/>
                <w:color w:val="000000"/>
                <w:sz w:val="24"/>
                <w:szCs w:val="24"/>
                <w:highlight w:val="none"/>
              </w:rPr>
              <w:t xml:space="preserve">分）</w:t>
            </w:r>
            <w:r>
              <w:rPr>
                <w:rFonts w:hint="eastAsia" w:ascii="Arial" w:hAnsi="Arial" w:eastAsia="宋体"/>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根据投标人或投标产品制造商的病理系统软件著作权证书进行评分，软件著作权证包含“病理技术流程管理”、“病理实验室管理”等类似描述的，每具备上述一个证书得</w:t>
            </w:r>
            <w:r>
              <w:rPr>
                <w:rFonts w:hint="eastAsia" w:ascii="Arial" w:hAnsi="Arial"/>
                <w:color w:val="000000"/>
                <w:sz w:val="24"/>
                <w:szCs w:val="24"/>
                <w:highlight w:val="none"/>
                <w:lang w:val="en-US" w:eastAsia="zh-CN"/>
              </w:rPr>
              <w:t xml:space="preserve">2</w:t>
            </w:r>
            <w:r>
              <w:rPr>
                <w:rFonts w:hint="eastAsia" w:ascii="Arial" w:hAnsi="Arial"/>
                <w:color w:val="000000"/>
                <w:sz w:val="24"/>
                <w:szCs w:val="24"/>
                <w:highlight w:val="none"/>
              </w:rPr>
              <w:t xml:space="preserve">分，最高得</w:t>
            </w:r>
            <w:r>
              <w:rPr>
                <w:rFonts w:hint="eastAsia" w:ascii="Arial" w:hAnsi="Arial"/>
                <w:color w:val="000000"/>
                <w:sz w:val="24"/>
                <w:szCs w:val="24"/>
                <w:highlight w:val="none"/>
                <w:lang w:val="en-US" w:eastAsia="zh-CN"/>
              </w:rPr>
              <w:t xml:space="preserve">4</w:t>
            </w:r>
            <w:r>
              <w:rPr>
                <w:rFonts w:hint="eastAsia" w:ascii="Arial" w:hAnsi="Arial"/>
                <w:color w:val="000000"/>
                <w:sz w:val="24"/>
                <w:szCs w:val="24"/>
                <w:highlight w:val="none"/>
              </w:rPr>
              <w:t xml:space="preserve">分，未提供不得分。</w:t>
            </w:r>
            <w:r>
              <w:rPr>
                <w:rFonts w:hint="eastAsia" w:ascii="Arial" w:hAnsi="Arial"/>
                <w:color w:val="000000"/>
                <w:sz w:val="24"/>
                <w:szCs w:val="24"/>
                <w:highlight w:val="none"/>
              </w:rPr>
            </w:r>
            <w:r/>
          </w:p>
          <w:p>
            <w:pPr>
              <w:pStyle w:val="821"/>
              <w:spacing w:line="360" w:lineRule="auto"/>
              <w:rPr>
                <w:rFonts w:ascii="Arial" w:hAnsi="Arial"/>
                <w:color w:val="000000"/>
                <w:sz w:val="24"/>
                <w:szCs w:val="24"/>
                <w:highlight w:val="none"/>
              </w:rPr>
            </w:pPr>
            <w:r>
              <w:rPr>
                <w:rFonts w:hint="eastAsia" w:ascii="Arial" w:hAnsi="Arial"/>
                <w:color w:val="000000"/>
                <w:sz w:val="24"/>
                <w:szCs w:val="24"/>
                <w:highlight w:val="none"/>
              </w:rPr>
              <w:t xml:space="preserve">注：投标文件中提供证书扫描件并加盖投标人公章，未按要求提供不得分。</w:t>
            </w:r>
            <w:r>
              <w:rPr>
                <w:rFonts w:ascii="Arial" w:hAnsi="Arial"/>
                <w:color w:val="000000"/>
                <w:sz w:val="24"/>
                <w:szCs w:val="24"/>
                <w:highlight w:val="none"/>
              </w:rPr>
            </w:r>
            <w:r/>
          </w:p>
        </w:tc>
      </w:tr>
      <w:tr>
        <w:trPr>
          <w:trHeight w:val="2545"/>
        </w:trPr>
        <w:tc>
          <w:tcPr>
            <w:tcW w:w="1750" w:type="dxa"/>
            <w:vAlign w:val="center"/>
            <w:textDirection w:val="lrTb"/>
            <w:noWrap w:val="false"/>
          </w:tcPr>
          <w:p>
            <w:pPr>
              <w:pStyle w:val="821"/>
              <w:jc w:val="center"/>
              <w:spacing w:line="360" w:lineRule="auto"/>
              <w:rPr>
                <w:rFonts w:hint="eastAsia" w:ascii="Arial" w:hAnsi="Arial" w:eastAsia="宋体"/>
                <w:color w:val="000000"/>
                <w:sz w:val="24"/>
                <w:szCs w:val="24"/>
                <w:highlight w:val="none"/>
                <w:lang w:val="en-US" w:eastAsia="zh-CN"/>
              </w:rPr>
            </w:pPr>
            <w:r>
              <w:rPr>
                <w:rFonts w:hint="eastAsia" w:ascii="Arial" w:hAnsi="Arial"/>
                <w:color w:val="000000"/>
                <w:sz w:val="24"/>
                <w:szCs w:val="24"/>
                <w:highlight w:val="none"/>
              </w:rPr>
              <w:t xml:space="preserve">体系认证证书（</w:t>
            </w:r>
            <w:r>
              <w:rPr>
                <w:rFonts w:hint="eastAsia" w:ascii="Arial" w:hAnsi="Arial"/>
                <w:color w:val="000000"/>
                <w:sz w:val="24"/>
                <w:szCs w:val="24"/>
                <w:highlight w:val="none"/>
                <w:lang w:val="en-US" w:eastAsia="zh-CN"/>
              </w:rPr>
              <w:t xml:space="preserve">3</w:t>
            </w:r>
            <w:r>
              <w:rPr>
                <w:rFonts w:hint="eastAsia" w:ascii="Arial" w:hAnsi="Arial"/>
                <w:color w:val="000000"/>
                <w:sz w:val="24"/>
                <w:szCs w:val="24"/>
                <w:highlight w:val="none"/>
              </w:rPr>
              <w:t xml:space="preserve">分）</w:t>
            </w:r>
            <w:r>
              <w:rPr>
                <w:rFonts w:hint="eastAsia" w:ascii="Arial" w:hAnsi="Arial" w:eastAsia="宋体"/>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根据投标人或投标产品制造商具备有效的：</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1、</w:t>
            </w:r>
            <w:r>
              <w:rPr>
                <w:rFonts w:hint="eastAsia" w:ascii="Arial" w:hAnsi="Arial" w:eastAsia="宋体" w:cs="Times New Roman"/>
                <w:color w:val="000000"/>
                <w:sz w:val="24"/>
                <w:szCs w:val="24"/>
                <w:highlight w:val="none"/>
              </w:rPr>
              <w:t xml:space="preserve">具有ISO/IEC 27799个人健康信息安全管理体系认证证书得1分，不提供不得分</w:t>
            </w:r>
            <w:r>
              <w:rPr>
                <w:rFonts w:hint="eastAsia" w:ascii="Arial" w:hAnsi="Arial"/>
                <w:color w:val="000000"/>
                <w:sz w:val="24"/>
                <w:szCs w:val="24"/>
                <w:highlight w:val="none"/>
              </w:rPr>
            </w:r>
            <w:r/>
          </w:p>
          <w:p>
            <w:pPr>
              <w:pStyle w:val="821"/>
              <w:spacing w:line="360" w:lineRule="auto"/>
              <w:rPr>
                <w:color w:val="000000"/>
                <w:highlight w:val="none"/>
              </w:rPr>
            </w:pPr>
            <w:r>
              <w:rPr>
                <w:rFonts w:hint="eastAsia" w:ascii="Arial" w:hAnsi="Arial"/>
                <w:color w:val="000000"/>
                <w:sz w:val="24"/>
                <w:szCs w:val="24"/>
                <w:highlight w:val="none"/>
              </w:rPr>
              <w:t xml:space="preserve">2、具有ISO9001质量</w:t>
            </w:r>
            <w:r>
              <w:rPr>
                <w:rFonts w:hint="eastAsia" w:ascii="Arial" w:hAnsi="Arial"/>
                <w:color w:val="000000"/>
                <w:sz w:val="24"/>
                <w:szCs w:val="24"/>
                <w:highlight w:val="none"/>
                <w:lang w:val="en-US" w:eastAsia="zh-CN"/>
              </w:rPr>
              <w:t xml:space="preserve">体系</w:t>
            </w:r>
            <w:r>
              <w:rPr>
                <w:rFonts w:hint="eastAsia" w:ascii="Arial" w:hAnsi="Arial"/>
                <w:color w:val="000000"/>
                <w:sz w:val="24"/>
                <w:szCs w:val="24"/>
                <w:highlight w:val="none"/>
              </w:rPr>
              <w:t xml:space="preserve">认证证书得1分，不提供不得分；</w:t>
            </w:r>
            <w:r>
              <w:rPr>
                <w:color w:val="000000"/>
                <w:highlight w:val="none"/>
              </w:rPr>
            </w:r>
            <w:r/>
          </w:p>
          <w:p>
            <w:pPr>
              <w:pStyle w:val="821"/>
              <w:spacing w:line="360" w:lineRule="auto"/>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lang w:val="en-US" w:eastAsia="zh-CN"/>
              </w:rPr>
              <w:t xml:space="preserve">3</w:t>
            </w:r>
            <w:r>
              <w:rPr>
                <w:rFonts w:hint="eastAsia" w:ascii="Arial" w:hAnsi="Arial" w:eastAsia="宋体" w:cs="Times New Roman"/>
                <w:color w:val="000000"/>
                <w:sz w:val="24"/>
                <w:szCs w:val="24"/>
                <w:highlight w:val="none"/>
              </w:rPr>
              <w:t xml:space="preserve">、具有ISO/IEC 27701隐私信息管理体系认证证书得1分，不提供不得分；</w:t>
            </w:r>
            <w:r>
              <w:rPr>
                <w:rFonts w:hint="eastAsia" w:ascii="Arial" w:hAnsi="Arial" w:eastAsia="宋体" w:cs="Times New Roman"/>
                <w:color w:val="000000"/>
                <w:sz w:val="24"/>
                <w:szCs w:val="24"/>
                <w:highlight w:val="none"/>
              </w:rPr>
            </w:r>
            <w:r/>
          </w:p>
          <w:p>
            <w:pPr>
              <w:pStyle w:val="821"/>
              <w:spacing w:line="360" w:lineRule="auto"/>
              <w:rPr>
                <w:rFonts w:ascii="Arial" w:hAnsi="Arial"/>
                <w:color w:val="000000"/>
                <w:sz w:val="24"/>
                <w:szCs w:val="24"/>
                <w:highlight w:val="none"/>
              </w:rPr>
            </w:pPr>
            <w:r>
              <w:rPr>
                <w:rFonts w:hint="eastAsia" w:ascii="Arial" w:hAnsi="Arial"/>
                <w:color w:val="000000"/>
                <w:sz w:val="24"/>
                <w:szCs w:val="24"/>
                <w:highlight w:val="none"/>
              </w:rPr>
              <w:t xml:space="preserve">注：投标文件中提供的有效证书扫描件及全国认证认可信息公共服务平台（http://cx.cnca.cn/）查询截图，上述证明材料加盖投标人公章，未按要求提供不得分。</w:t>
            </w:r>
            <w:r>
              <w:rPr>
                <w:rFonts w:ascii="Arial" w:hAnsi="Arial"/>
                <w:color w:val="000000"/>
                <w:sz w:val="24"/>
                <w:szCs w:val="24"/>
                <w:highlight w:val="none"/>
              </w:rPr>
            </w:r>
            <w:r/>
          </w:p>
        </w:tc>
      </w:tr>
      <w:tr>
        <w:trPr>
          <w:trHeight w:val="2161"/>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lang w:val="en-US" w:eastAsia="zh-CN"/>
              </w:rPr>
            </w:pPr>
            <w:r>
              <w:rPr>
                <w:rFonts w:hint="eastAsia" w:ascii="Arial" w:hAnsi="Arial"/>
                <w:color w:val="000000"/>
                <w:sz w:val="24"/>
                <w:szCs w:val="24"/>
                <w:highlight w:val="none"/>
                <w:lang w:val="en-US" w:eastAsia="zh-CN"/>
              </w:rPr>
              <w:t xml:space="preserve">国产化适配</w:t>
            </w:r>
            <w:r>
              <w:rPr>
                <w:rFonts w:hint="eastAsia" w:ascii="Arial" w:hAnsi="Arial"/>
                <w:color w:val="000000"/>
                <w:sz w:val="24"/>
                <w:szCs w:val="24"/>
                <w:highlight w:val="none"/>
                <w:lang w:val="en-US" w:eastAsia="zh-CN"/>
              </w:rPr>
            </w:r>
            <w:r/>
          </w:p>
          <w:p>
            <w:pPr>
              <w:pStyle w:val="821"/>
              <w:jc w:val="center"/>
              <w:spacing w:line="360" w:lineRule="auto"/>
              <w:rPr>
                <w:rFonts w:ascii="Arial" w:hAnsi="Arial"/>
                <w:color w:val="000000"/>
                <w:sz w:val="24"/>
                <w:szCs w:val="24"/>
                <w:highlight w:val="none"/>
                <w:lang w:val="en-US" w:eastAsia="zh-CN"/>
              </w:rPr>
            </w:pPr>
            <w:r>
              <w:rPr>
                <w:rFonts w:hint="eastAsia" w:ascii="Arial" w:hAnsi="Arial"/>
                <w:color w:val="000000"/>
                <w:sz w:val="24"/>
                <w:szCs w:val="24"/>
                <w:highlight w:val="none"/>
              </w:rPr>
              <w:t xml:space="preserve">（</w:t>
            </w:r>
            <w:r>
              <w:rPr>
                <w:rFonts w:hint="eastAsia" w:ascii="Arial" w:hAnsi="Arial"/>
                <w:color w:val="000000"/>
                <w:sz w:val="24"/>
                <w:szCs w:val="24"/>
                <w:highlight w:val="none"/>
                <w:lang w:val="en-US" w:eastAsia="zh-CN"/>
              </w:rPr>
              <w:t xml:space="preserve">3</w:t>
            </w:r>
            <w:r>
              <w:rPr>
                <w:rFonts w:hint="eastAsia" w:ascii="Arial" w:hAnsi="Arial"/>
                <w:color w:val="000000"/>
                <w:sz w:val="24"/>
                <w:szCs w:val="24"/>
                <w:highlight w:val="none"/>
              </w:rPr>
              <w:t xml:space="preserve">分）</w:t>
            </w:r>
            <w:r>
              <w:rPr>
                <w:rFonts w:ascii="Arial" w:hAnsi="Arial"/>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所投信息化软件</w:t>
            </w:r>
            <w:r>
              <w:rPr>
                <w:rFonts w:hint="eastAsia" w:ascii="Arial" w:hAnsi="Arial"/>
                <w:color w:val="000000"/>
                <w:sz w:val="24"/>
                <w:szCs w:val="24"/>
                <w:highlight w:val="none"/>
                <w:lang w:val="en-US" w:eastAsia="zh-CN"/>
              </w:rPr>
              <w:t xml:space="preserve">需</w:t>
            </w:r>
            <w:r>
              <w:rPr>
                <w:rFonts w:hint="eastAsia" w:ascii="Arial" w:hAnsi="Arial"/>
                <w:color w:val="000000"/>
                <w:sz w:val="24"/>
                <w:szCs w:val="24"/>
                <w:highlight w:val="none"/>
              </w:rPr>
              <w:t xml:space="preserve">支持</w:t>
            </w:r>
            <w:r>
              <w:rPr>
                <w:rFonts w:hint="eastAsia" w:ascii="Arial" w:hAnsi="Arial"/>
                <w:color w:val="000000"/>
                <w:sz w:val="24"/>
                <w:szCs w:val="24"/>
                <w:highlight w:val="none"/>
                <w:lang w:eastAsia="zh-CN"/>
              </w:rPr>
              <w:t xml:space="preserve">国产化</w:t>
            </w:r>
            <w:r>
              <w:rPr>
                <w:rFonts w:hint="eastAsia" w:ascii="Arial" w:hAnsi="Arial"/>
                <w:color w:val="000000"/>
                <w:sz w:val="24"/>
                <w:szCs w:val="24"/>
                <w:highlight w:val="none"/>
              </w:rPr>
              <w:t xml:space="preserve">全栈国产化环境（国产CPU、国产操作系统、国产数据库、国产中间件），提供有效证明材料</w:t>
            </w:r>
            <w:r>
              <w:rPr>
                <w:rFonts w:hint="eastAsia" w:ascii="Arial" w:hAnsi="Arial"/>
                <w:color w:val="000000"/>
                <w:sz w:val="24"/>
                <w:szCs w:val="24"/>
                <w:highlight w:val="none"/>
                <w:lang w:val="en-US" w:eastAsia="zh-CN"/>
              </w:rPr>
              <w:t xml:space="preserve">的，得3分</w:t>
            </w:r>
            <w:r>
              <w:rPr>
                <w:rFonts w:hint="eastAsia" w:ascii="Arial" w:hAnsi="Arial"/>
                <w:color w:val="000000"/>
                <w:sz w:val="24"/>
                <w:szCs w:val="24"/>
                <w:highlight w:val="none"/>
              </w:rPr>
              <w:t xml:space="preserve">；未</w:t>
            </w:r>
            <w:r>
              <w:rPr>
                <w:rFonts w:hint="eastAsia" w:ascii="Arial" w:hAnsi="Arial"/>
                <w:color w:val="000000"/>
                <w:sz w:val="24"/>
                <w:szCs w:val="24"/>
                <w:highlight w:val="none"/>
                <w:lang w:val="en-US" w:eastAsia="zh-CN"/>
              </w:rPr>
              <w:t xml:space="preserve">按要求</w:t>
            </w:r>
            <w:r>
              <w:rPr>
                <w:rFonts w:hint="eastAsia" w:ascii="Arial" w:hAnsi="Arial"/>
                <w:color w:val="000000"/>
                <w:sz w:val="24"/>
                <w:szCs w:val="24"/>
                <w:highlight w:val="none"/>
              </w:rPr>
              <w:t xml:space="preserve">提供不得分。</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注：</w:t>
            </w:r>
            <w:r>
              <w:rPr>
                <w:rFonts w:hint="eastAsia" w:ascii="Arial" w:hAnsi="Arial"/>
                <w:color w:val="000000"/>
                <w:sz w:val="24"/>
                <w:szCs w:val="24"/>
                <w:highlight w:val="none"/>
              </w:rPr>
              <w:t xml:space="preserve">投标文件中提供</w:t>
            </w:r>
            <w:r>
              <w:rPr>
                <w:rFonts w:hint="eastAsia" w:ascii="Arial" w:hAnsi="Arial"/>
                <w:color w:val="000000"/>
                <w:sz w:val="24"/>
                <w:szCs w:val="24"/>
                <w:highlight w:val="none"/>
                <w:lang w:eastAsia="zh-CN"/>
              </w:rPr>
              <w:t xml:space="preserve">国产化</w:t>
            </w:r>
            <w:r>
              <w:rPr>
                <w:rFonts w:hint="eastAsia" w:ascii="Arial" w:hAnsi="Arial"/>
                <w:color w:val="000000"/>
                <w:sz w:val="24"/>
                <w:szCs w:val="24"/>
                <w:highlight w:val="none"/>
              </w:rPr>
              <w:t xml:space="preserve">互认证书</w:t>
            </w:r>
            <w:r>
              <w:rPr>
                <w:rFonts w:hint="eastAsia" w:ascii="Arial" w:hAnsi="Arial"/>
                <w:color w:val="000000"/>
                <w:sz w:val="24"/>
                <w:szCs w:val="24"/>
                <w:highlight w:val="none"/>
                <w:lang w:val="en-US" w:eastAsia="zh-CN"/>
              </w:rPr>
              <w:t xml:space="preserve">和</w:t>
            </w:r>
            <w:r>
              <w:rPr>
                <w:rFonts w:hint="eastAsia" w:ascii="Arial" w:hAnsi="Arial"/>
                <w:color w:val="000000"/>
                <w:sz w:val="24"/>
                <w:szCs w:val="24"/>
                <w:highlight w:val="none"/>
              </w:rPr>
              <w:t xml:space="preserve">第三方适配测试报告。</w:t>
            </w:r>
            <w:r>
              <w:rPr>
                <w:rFonts w:hint="eastAsia" w:ascii="Arial" w:hAnsi="Arial"/>
                <w:color w:val="000000"/>
                <w:sz w:val="24"/>
                <w:szCs w:val="24"/>
                <w:highlight w:val="none"/>
              </w:rPr>
            </w:r>
            <w:r/>
          </w:p>
        </w:tc>
      </w:tr>
      <w:tr>
        <w:trPr>
          <w:trHeight w:val="494"/>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同类业绩</w:t>
            </w:r>
            <w:r>
              <w:rPr>
                <w:rFonts w:hint="eastAsia" w:ascii="Arial" w:hAnsi="Arial"/>
                <w:color w:val="000000"/>
                <w:sz w:val="24"/>
                <w:szCs w:val="24"/>
                <w:highlight w:val="none"/>
              </w:rPr>
            </w:r>
            <w:r/>
          </w:p>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w:t>
            </w:r>
            <w:r>
              <w:rPr>
                <w:rFonts w:hint="eastAsia" w:ascii="Arial" w:hAnsi="Arial"/>
                <w:color w:val="000000"/>
                <w:sz w:val="24"/>
                <w:szCs w:val="24"/>
                <w:highlight w:val="none"/>
                <w:lang w:val="en-US" w:eastAsia="zh-CN"/>
              </w:rPr>
              <w:t xml:space="preserve">3</w:t>
            </w:r>
            <w:r>
              <w:rPr>
                <w:rFonts w:hint="eastAsia" w:ascii="Arial" w:hAnsi="Arial"/>
                <w:color w:val="000000"/>
                <w:sz w:val="24"/>
                <w:szCs w:val="24"/>
                <w:highlight w:val="none"/>
              </w:rPr>
              <w:t xml:space="preserve">分）</w:t>
            </w:r>
            <w:r>
              <w:rPr>
                <w:rFonts w:hint="eastAsia" w:ascii="Arial" w:hAnsi="Arial"/>
                <w:color w:val="000000"/>
                <w:sz w:val="24"/>
                <w:szCs w:val="24"/>
                <w:highlight w:val="none"/>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1、投标人自2022年1月1日以来承揽过的类似项目业绩（至少包含病理技术流程管理系统软件或病理实验室标准化管理系统软件），每有1个得1分，本项最高得</w:t>
            </w:r>
            <w:r>
              <w:rPr>
                <w:rFonts w:hint="eastAsia" w:ascii="Arial" w:hAnsi="Arial"/>
                <w:color w:val="000000"/>
                <w:sz w:val="24"/>
                <w:szCs w:val="24"/>
                <w:highlight w:val="none"/>
                <w:lang w:val="en-US" w:eastAsia="zh-CN"/>
              </w:rPr>
              <w:t xml:space="preserve">3</w:t>
            </w:r>
            <w:r>
              <w:rPr>
                <w:rFonts w:hint="eastAsia" w:ascii="Arial" w:hAnsi="Arial"/>
                <w:color w:val="000000"/>
                <w:sz w:val="24"/>
                <w:szCs w:val="24"/>
                <w:highlight w:val="none"/>
              </w:rPr>
              <w:t xml:space="preserve">分。</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注：投标文件中提供有效合同扫描件加盖投标人公章，包含合同主要内容、金额、签订时间等，</w:t>
            </w:r>
            <w:r>
              <w:rPr>
                <w:rFonts w:hint="eastAsia" w:ascii="Arial" w:hAnsi="Arial"/>
                <w:color w:val="000000"/>
                <w:sz w:val="24"/>
                <w:szCs w:val="24"/>
                <w:highlight w:val="none"/>
                <w:lang w:val="en-US" w:eastAsia="zh-CN"/>
              </w:rPr>
              <w:t xml:space="preserve">时间以合同签订时间为准，</w:t>
            </w:r>
            <w:r>
              <w:rPr>
                <w:rFonts w:hint="eastAsia" w:ascii="Arial" w:hAnsi="Arial"/>
                <w:color w:val="000000"/>
                <w:sz w:val="24"/>
                <w:szCs w:val="24"/>
                <w:highlight w:val="none"/>
              </w:rPr>
              <w:t xml:space="preserve">未按要求提供不得分。</w:t>
            </w:r>
            <w:r>
              <w:rPr>
                <w:rFonts w:hint="eastAsia" w:ascii="Arial" w:hAnsi="Arial"/>
                <w:color w:val="000000"/>
                <w:sz w:val="24"/>
                <w:szCs w:val="24"/>
                <w:highlight w:val="none"/>
              </w:rPr>
            </w:r>
            <w:r/>
          </w:p>
        </w:tc>
      </w:tr>
      <w:tr>
        <w:trPr>
          <w:trHeight w:val="5535"/>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技术参数响应（16分）</w:t>
            </w:r>
            <w:r>
              <w:rPr>
                <w:rFonts w:hint="eastAsia" w:ascii="Arial" w:hAnsi="Arial"/>
                <w:color w:val="000000"/>
                <w:sz w:val="24"/>
                <w:szCs w:val="24"/>
                <w:highlight w:val="none"/>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完全满足招标文件技术参数要求得 16分。其中▲项为重要指标，每有一项不满足扣1分；未标▲项参数每有一项不满足扣0.5分； 扣完为止。（标注“▲”项须提供软件界面截图，未提供视为不满足。）</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注：</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1、技术参数和相关要求响应情况，投标人应在“技术要求响应及偏离表”中逐项如实填写，其中“▲”项须提供软件界面截图，不得虚假响应，否则视为提供虚假材料谋取中标。</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2、为保证所投产品的功能真实性，招标人有权要求中标人中标后一周内到医院进行所有招标参数的软件功能操作演示，若无法演示所有参数功能，按虚假应标处理，招标人将取消其中标资格并追究其相关责任。</w:t>
            </w:r>
            <w:r>
              <w:rPr>
                <w:rFonts w:hint="eastAsia" w:ascii="Arial" w:hAnsi="Arial"/>
                <w:color w:val="000000"/>
                <w:sz w:val="24"/>
                <w:szCs w:val="24"/>
                <w:highlight w:val="none"/>
              </w:rPr>
            </w:r>
            <w:r/>
          </w:p>
        </w:tc>
      </w:tr>
      <w:tr>
        <w:trPr>
          <w:trHeight w:val="1781"/>
        </w:trPr>
        <w:tc>
          <w:tcPr>
            <w:tcW w:w="1750" w:type="dxa"/>
            <w:vAlign w:val="center"/>
            <w:textDirection w:val="lrTb"/>
            <w:noWrap w:val="false"/>
          </w:tcPr>
          <w:p>
            <w:pPr>
              <w:pStyle w:val="821"/>
              <w:jc w:val="center"/>
              <w:spacing w:line="360" w:lineRule="auto"/>
              <w:rPr>
                <w:rFonts w:hint="eastAsia" w:ascii="Arial" w:hAnsi="Arial" w:eastAsia="宋体"/>
                <w:color w:val="000000"/>
                <w:sz w:val="24"/>
                <w:szCs w:val="24"/>
                <w:highlight w:val="none"/>
                <w:lang w:val="en-US" w:eastAsia="zh-CN"/>
              </w:rPr>
            </w:pPr>
            <w:r>
              <w:rPr>
                <w:rFonts w:hint="eastAsia" w:ascii="Arial" w:hAnsi="Arial"/>
                <w:color w:val="000000"/>
                <w:sz w:val="24"/>
                <w:szCs w:val="24"/>
                <w:highlight w:val="none"/>
              </w:rPr>
              <w:t xml:space="preserve">总体设计方案（</w:t>
            </w:r>
            <w:r>
              <w:rPr>
                <w:rFonts w:hint="eastAsia" w:ascii="Arial" w:hAnsi="Arial"/>
                <w:color w:val="000000"/>
                <w:sz w:val="24"/>
                <w:szCs w:val="24"/>
                <w:highlight w:val="none"/>
                <w:lang w:val="en-US" w:eastAsia="zh-CN"/>
              </w:rPr>
              <w:t xml:space="preserve">9</w:t>
            </w:r>
            <w:r>
              <w:rPr>
                <w:rFonts w:hint="eastAsia" w:ascii="Arial" w:hAnsi="Arial"/>
                <w:color w:val="000000"/>
                <w:sz w:val="24"/>
                <w:szCs w:val="24"/>
                <w:highlight w:val="none"/>
              </w:rPr>
              <w:t xml:space="preserve">分）</w:t>
            </w:r>
            <w:r>
              <w:rPr>
                <w:rFonts w:hint="eastAsia" w:ascii="Arial" w:hAnsi="Arial" w:eastAsia="宋体"/>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t xml:space="preserve">投标文件提供项目总体设计方案，</w:t>
            </w:r>
            <w:r>
              <w:rPr>
                <w:rFonts w:hint="eastAsia" w:ascii="Arial" w:hAnsi="Arial" w:eastAsia="宋体" w:cs="Times New Roman"/>
                <w:color w:val="000000"/>
                <w:sz w:val="24"/>
                <w:szCs w:val="24"/>
                <w:highlight w:val="none"/>
                <w:lang w:val="en-US" w:eastAsia="zh-CN"/>
              </w:rPr>
              <w:t xml:space="preserve">内容须包含以下几项：①</w:t>
            </w:r>
            <w:r>
              <w:rPr>
                <w:rFonts w:hint="eastAsia" w:ascii="Arial" w:hAnsi="Arial" w:eastAsia="宋体" w:cs="Times New Roman"/>
                <w:color w:val="000000"/>
                <w:sz w:val="24"/>
                <w:szCs w:val="24"/>
                <w:highlight w:val="none"/>
              </w:rPr>
              <w:t xml:space="preserve">对本项目需要完成的工作目标和任务的理解</w:t>
            </w:r>
            <w:r>
              <w:rPr>
                <w:rFonts w:hint="eastAsia" w:ascii="Arial" w:hAnsi="Arial" w:eastAsia="宋体" w:cs="Times New Roman"/>
                <w:color w:val="000000"/>
                <w:sz w:val="24"/>
                <w:szCs w:val="24"/>
                <w:highlight w:val="none"/>
                <w:lang w:eastAsia="zh-CN"/>
              </w:rPr>
              <w:t xml:space="preserve">；②</w:t>
            </w:r>
            <w:r>
              <w:rPr>
                <w:rFonts w:hint="eastAsia" w:ascii="Arial" w:hAnsi="Arial" w:eastAsia="宋体" w:cs="Times New Roman"/>
                <w:color w:val="000000"/>
                <w:sz w:val="24"/>
                <w:szCs w:val="24"/>
                <w:highlight w:val="none"/>
              </w:rPr>
              <w:t xml:space="preserve">总体思路、总体规划（包括系统框架、业务流程）</w:t>
            </w:r>
            <w:r>
              <w:rPr>
                <w:rFonts w:hint="eastAsia" w:ascii="Arial" w:hAnsi="Arial" w:eastAsia="宋体" w:cs="Times New Roman"/>
                <w:color w:val="000000"/>
                <w:sz w:val="24"/>
                <w:szCs w:val="24"/>
                <w:highlight w:val="none"/>
                <w:lang w:eastAsia="zh-CN"/>
              </w:rPr>
              <w:t xml:space="preserve">；③</w:t>
            </w:r>
            <w:r>
              <w:rPr>
                <w:rFonts w:hint="eastAsia" w:ascii="Arial" w:hAnsi="Arial" w:eastAsia="宋体" w:cs="Times New Roman"/>
                <w:color w:val="000000"/>
                <w:sz w:val="24"/>
                <w:szCs w:val="24"/>
                <w:highlight w:val="none"/>
              </w:rPr>
              <w:t xml:space="preserve">功能需求</w:t>
            </w:r>
            <w:r>
              <w:rPr>
                <w:rFonts w:hint="eastAsia" w:ascii="Arial" w:hAnsi="Arial" w:eastAsia="宋体" w:cs="Times New Roman"/>
                <w:color w:val="000000"/>
                <w:sz w:val="24"/>
                <w:szCs w:val="24"/>
                <w:highlight w:val="none"/>
                <w:lang w:eastAsia="zh-CN"/>
              </w:rPr>
              <w:t xml:space="preserve">、</w:t>
            </w:r>
            <w:r>
              <w:rPr>
                <w:rFonts w:hint="eastAsia" w:ascii="Arial" w:hAnsi="Arial" w:eastAsia="宋体" w:cs="Times New Roman"/>
                <w:color w:val="000000"/>
                <w:sz w:val="24"/>
                <w:szCs w:val="24"/>
                <w:highlight w:val="none"/>
              </w:rPr>
              <w:t xml:space="preserve">技术路线</w:t>
            </w:r>
            <w:r>
              <w:rPr>
                <w:rFonts w:hint="eastAsia" w:ascii="Arial" w:hAnsi="Arial" w:eastAsia="宋体" w:cs="Times New Roman"/>
                <w:color w:val="000000"/>
                <w:sz w:val="24"/>
                <w:szCs w:val="24"/>
                <w:highlight w:val="none"/>
                <w:lang w:val="en-US" w:eastAsia="zh-CN"/>
              </w:rPr>
              <w:t xml:space="preserve">等</w:t>
            </w:r>
            <w:r>
              <w:rPr>
                <w:rFonts w:hint="eastAsia" w:ascii="Arial" w:hAnsi="Arial" w:eastAsia="宋体" w:cs="Times New Roman"/>
                <w:color w:val="000000"/>
                <w:sz w:val="24"/>
                <w:szCs w:val="24"/>
                <w:highlight w:val="none"/>
              </w:rPr>
              <w:t xml:space="preserve">。</w:t>
            </w:r>
            <w:r>
              <w:rPr>
                <w:rFonts w:hint="eastAsia" w:ascii="Arial" w:hAnsi="Arial" w:eastAsia="宋体" w:cs="Times New Roman"/>
                <w:color w:val="000000"/>
                <w:sz w:val="24"/>
                <w:szCs w:val="24"/>
                <w:highlight w:val="none"/>
              </w:rPr>
            </w:r>
            <w:r/>
          </w:p>
          <w:p>
            <w:pPr>
              <w:pStyle w:val="821"/>
              <w:spacing w:line="360" w:lineRule="auto"/>
              <w:rPr>
                <w:rFonts w:hint="eastAsia" w:ascii="Arial" w:hAnsi="Arial" w:eastAsia="宋体" w:cs="Times New Roman"/>
                <w:color w:val="000000"/>
                <w:sz w:val="24"/>
                <w:szCs w:val="24"/>
                <w:highlight w:val="none"/>
                <w:lang w:val="en-US" w:eastAsia="zh-CN"/>
              </w:rPr>
            </w:pPr>
            <w:r>
              <w:rPr>
                <w:rFonts w:hint="eastAsia" w:ascii="Arial" w:hAnsi="Arial" w:eastAsia="宋体" w:cs="Times New Roman"/>
                <w:color w:val="000000"/>
                <w:sz w:val="24"/>
                <w:szCs w:val="24"/>
                <w:highlight w:val="none"/>
                <w:lang w:val="en-US" w:eastAsia="zh-CN"/>
              </w:rPr>
              <w:t xml:space="preserve">上述3项内容，每缺少一项内容扣3分，每有一处内容存在缺陷或不足的扣1分，扣完为止。本项最高得9分。</w:t>
            </w:r>
            <w:r>
              <w:rPr>
                <w:rFonts w:hint="eastAsia" w:ascii="Arial" w:hAnsi="Arial" w:eastAsia="宋体" w:cs="Times New Roman"/>
                <w:color w:val="000000"/>
                <w:sz w:val="24"/>
                <w:szCs w:val="24"/>
                <w:highlight w:val="none"/>
                <w:lang w:val="en-US" w:eastAsia="zh-CN"/>
              </w:rPr>
            </w:r>
            <w:r/>
          </w:p>
          <w:p>
            <w:pPr>
              <w:pStyle w:val="821"/>
              <w:spacing w:line="360" w:lineRule="auto"/>
              <w:rPr>
                <w:rFonts w:hint="eastAsia" w:ascii="Arial" w:hAnsi="Arial"/>
                <w:color w:val="000000"/>
                <w:sz w:val="24"/>
                <w:szCs w:val="24"/>
                <w:highlight w:val="none"/>
              </w:rPr>
            </w:pPr>
            <w:r>
              <w:rPr>
                <w:rFonts w:hint="eastAsia" w:ascii="Arial" w:hAnsi="Arial" w:eastAsia="宋体" w:cs="Times New Roman"/>
                <w:color w:val="000000"/>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Arial" w:hAnsi="Arial"/>
                <w:color w:val="000000"/>
                <w:sz w:val="24"/>
                <w:szCs w:val="24"/>
                <w:highlight w:val="none"/>
              </w:rPr>
            </w:r>
            <w:r/>
          </w:p>
        </w:tc>
      </w:tr>
      <w:tr>
        <w:trPr>
          <w:trHeight w:val="3141"/>
        </w:trPr>
        <w:tc>
          <w:tcPr>
            <w:tcW w:w="1750" w:type="dxa"/>
            <w:vAlign w:val="center"/>
            <w:textDirection w:val="lrTb"/>
            <w:noWrap w:val="false"/>
          </w:tcPr>
          <w:p>
            <w:pPr>
              <w:pStyle w:val="821"/>
              <w:jc w:val="center"/>
              <w:spacing w:line="360" w:lineRule="auto"/>
              <w:rPr>
                <w:rFonts w:hint="eastAsia" w:ascii="Arial" w:hAnsi="Arial" w:eastAsia="宋体"/>
                <w:color w:val="000000"/>
                <w:sz w:val="24"/>
                <w:szCs w:val="24"/>
                <w:highlight w:val="none"/>
                <w:lang w:val="en-US" w:eastAsia="zh-CN"/>
              </w:rPr>
            </w:pPr>
            <w:r>
              <w:rPr>
                <w:rFonts w:hint="eastAsia" w:ascii="Arial" w:hAnsi="Arial"/>
                <w:color w:val="000000"/>
                <w:sz w:val="24"/>
                <w:szCs w:val="24"/>
                <w:highlight w:val="none"/>
              </w:rPr>
              <w:t xml:space="preserve">项目实施方案（</w:t>
            </w:r>
            <w:r>
              <w:rPr>
                <w:rFonts w:hint="eastAsia" w:ascii="Arial" w:hAnsi="Arial"/>
                <w:color w:val="000000"/>
                <w:sz w:val="24"/>
                <w:szCs w:val="24"/>
                <w:highlight w:val="none"/>
                <w:lang w:val="en-US" w:eastAsia="zh-CN"/>
              </w:rPr>
              <w:t xml:space="preserve">8</w:t>
            </w:r>
            <w:r>
              <w:rPr>
                <w:rFonts w:hint="eastAsia" w:ascii="Arial" w:hAnsi="Arial"/>
                <w:color w:val="000000"/>
                <w:sz w:val="24"/>
                <w:szCs w:val="24"/>
                <w:highlight w:val="none"/>
              </w:rPr>
              <w:t xml:space="preserve">分）</w:t>
            </w:r>
            <w:r>
              <w:rPr>
                <w:rFonts w:hint="eastAsia" w:ascii="Arial" w:hAnsi="Arial" w:eastAsia="宋体"/>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投标文件提供项目组织和实施方案，</w:t>
            </w:r>
            <w:r>
              <w:rPr>
                <w:rFonts w:hint="eastAsia" w:ascii="Arial" w:hAnsi="Arial"/>
                <w:color w:val="000000"/>
                <w:sz w:val="24"/>
                <w:szCs w:val="24"/>
                <w:highlight w:val="none"/>
                <w:lang w:val="en-US" w:eastAsia="zh-CN"/>
              </w:rPr>
              <w:t xml:space="preserve">内容须包含以下几项：①</w:t>
            </w:r>
            <w:r>
              <w:rPr>
                <w:rFonts w:hint="eastAsia" w:ascii="Arial" w:hAnsi="Arial"/>
                <w:color w:val="000000"/>
                <w:sz w:val="24"/>
                <w:szCs w:val="24"/>
                <w:highlight w:val="none"/>
              </w:rPr>
              <w:t xml:space="preserve">设备</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软件</w:t>
            </w:r>
            <w:r>
              <w:rPr>
                <w:rFonts w:hint="eastAsia" w:ascii="Arial" w:hAnsi="Arial"/>
                <w:color w:val="000000"/>
                <w:sz w:val="24"/>
                <w:szCs w:val="24"/>
                <w:highlight w:val="none"/>
              </w:rPr>
              <w:t xml:space="preserve">安装</w:t>
            </w:r>
            <w:r>
              <w:rPr>
                <w:rFonts w:hint="eastAsia" w:ascii="Arial" w:hAnsi="Arial"/>
                <w:color w:val="000000"/>
                <w:sz w:val="24"/>
                <w:szCs w:val="24"/>
                <w:highlight w:val="none"/>
                <w:lang w:val="en-US" w:eastAsia="zh-CN"/>
              </w:rPr>
              <w:t xml:space="preserve">及调试</w:t>
            </w:r>
            <w:r>
              <w:rPr>
                <w:rFonts w:hint="eastAsia" w:ascii="Arial" w:hAnsi="Arial"/>
                <w:color w:val="000000"/>
                <w:sz w:val="24"/>
                <w:szCs w:val="24"/>
                <w:highlight w:val="none"/>
              </w:rPr>
              <w:t xml:space="preserve">方案</w:t>
            </w:r>
            <w:r>
              <w:rPr>
                <w:rFonts w:hint="eastAsia" w:ascii="Arial" w:hAnsi="Arial"/>
                <w:color w:val="000000"/>
                <w:sz w:val="24"/>
                <w:szCs w:val="24"/>
                <w:highlight w:val="none"/>
                <w:lang w:eastAsia="zh-CN"/>
              </w:rPr>
              <w:t xml:space="preserve">；②</w:t>
            </w:r>
            <w:r>
              <w:rPr>
                <w:rFonts w:hint="eastAsia" w:ascii="Arial" w:hAnsi="Arial"/>
                <w:color w:val="000000"/>
                <w:sz w:val="24"/>
                <w:szCs w:val="24"/>
                <w:highlight w:val="none"/>
              </w:rPr>
              <w:t xml:space="preserve">进度计划</w:t>
            </w:r>
            <w:r>
              <w:rPr>
                <w:rFonts w:hint="eastAsia" w:ascii="Arial" w:hAnsi="Arial"/>
                <w:color w:val="000000"/>
                <w:sz w:val="24"/>
                <w:szCs w:val="24"/>
                <w:highlight w:val="none"/>
                <w:lang w:eastAsia="zh-CN"/>
              </w:rPr>
              <w:t xml:space="preserve">；③</w:t>
            </w:r>
            <w:r>
              <w:rPr>
                <w:rFonts w:hint="eastAsia" w:ascii="Arial" w:hAnsi="Arial"/>
                <w:color w:val="000000"/>
                <w:sz w:val="24"/>
                <w:szCs w:val="24"/>
                <w:highlight w:val="none"/>
              </w:rPr>
              <w:t xml:space="preserve">质量保证措施</w:t>
            </w:r>
            <w:r>
              <w:rPr>
                <w:rFonts w:hint="eastAsia" w:ascii="Arial" w:hAnsi="Arial"/>
                <w:color w:val="000000"/>
                <w:sz w:val="24"/>
                <w:szCs w:val="24"/>
                <w:highlight w:val="none"/>
                <w:lang w:eastAsia="zh-CN"/>
              </w:rPr>
              <w:t xml:space="preserve">；④</w:t>
            </w:r>
            <w:r>
              <w:rPr>
                <w:rFonts w:hint="eastAsia" w:ascii="Arial" w:hAnsi="Arial"/>
                <w:color w:val="000000"/>
                <w:sz w:val="24"/>
                <w:szCs w:val="24"/>
                <w:highlight w:val="none"/>
              </w:rPr>
              <w:t xml:space="preserve">紧急预案等。</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lang w:val="en-US" w:eastAsia="zh-CN"/>
              </w:rPr>
            </w:pPr>
            <w:r>
              <w:rPr>
                <w:rFonts w:hint="eastAsia" w:ascii="Arial" w:hAnsi="Arial"/>
                <w:color w:val="000000"/>
                <w:sz w:val="24"/>
                <w:szCs w:val="24"/>
                <w:highlight w:val="none"/>
                <w:lang w:val="en-US" w:eastAsia="zh-CN"/>
              </w:rPr>
              <w:t xml:space="preserve">上述4项内容，每缺少一项内容扣2分，每有一处内容存在缺陷或不足的扣1分，扣完为止。本项最高得8分。</w:t>
            </w:r>
            <w:r>
              <w:rPr>
                <w:rFonts w:hint="eastAsia" w:ascii="Arial" w:hAnsi="Arial"/>
                <w:color w:val="000000"/>
                <w:sz w:val="24"/>
                <w:szCs w:val="24"/>
                <w:highlight w:val="none"/>
                <w:lang w:val="en-US" w:eastAsia="zh-CN"/>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Arial" w:hAnsi="Arial"/>
                <w:color w:val="000000"/>
                <w:sz w:val="24"/>
                <w:szCs w:val="24"/>
                <w:highlight w:val="none"/>
              </w:rPr>
            </w:r>
            <w:r/>
          </w:p>
        </w:tc>
      </w:tr>
      <w:tr>
        <w:trPr>
          <w:trHeight w:val="362"/>
        </w:trPr>
        <w:tc>
          <w:tcPr>
            <w:tcW w:w="1750" w:type="dxa"/>
            <w:vAlign w:val="center"/>
            <w:textDirection w:val="lrTb"/>
            <w:noWrap w:val="false"/>
          </w:tcPr>
          <w:p>
            <w:pPr>
              <w:pStyle w:val="821"/>
              <w:jc w:val="center"/>
              <w:spacing w:line="360" w:lineRule="auto"/>
              <w:rPr>
                <w:rFonts w:hint="eastAsia" w:ascii="Arial" w:hAnsi="Arial" w:eastAsia="宋体"/>
                <w:color w:val="000000"/>
                <w:sz w:val="24"/>
                <w:szCs w:val="24"/>
                <w:highlight w:val="none"/>
                <w:lang w:val="en-US" w:eastAsia="zh-CN"/>
              </w:rPr>
            </w:pPr>
            <w:r>
              <w:rPr>
                <w:rFonts w:hint="eastAsia" w:ascii="Arial" w:hAnsi="Arial"/>
                <w:color w:val="000000"/>
                <w:sz w:val="24"/>
                <w:szCs w:val="24"/>
                <w:highlight w:val="none"/>
              </w:rPr>
              <w:t xml:space="preserve">售后服务方案（</w:t>
            </w:r>
            <w:r>
              <w:rPr>
                <w:rFonts w:hint="eastAsia" w:ascii="Arial" w:hAnsi="Arial"/>
                <w:color w:val="000000"/>
                <w:sz w:val="24"/>
                <w:szCs w:val="24"/>
                <w:highlight w:val="none"/>
                <w:lang w:val="en-US" w:eastAsia="zh-CN"/>
              </w:rPr>
              <w:t xml:space="preserve">8</w:t>
            </w:r>
            <w:r>
              <w:rPr>
                <w:rFonts w:hint="eastAsia" w:ascii="Arial" w:hAnsi="Arial"/>
                <w:color w:val="000000"/>
                <w:sz w:val="24"/>
                <w:szCs w:val="24"/>
                <w:highlight w:val="none"/>
              </w:rPr>
              <w:t xml:space="preserve">分）</w:t>
            </w:r>
            <w:r>
              <w:rPr>
                <w:rFonts w:hint="eastAsia" w:ascii="Arial" w:hAnsi="Arial" w:eastAsia="宋体"/>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投标文件提供售后服务方案，</w:t>
            </w:r>
            <w:r>
              <w:rPr>
                <w:rFonts w:hint="eastAsia" w:ascii="Arial" w:hAnsi="Arial"/>
                <w:color w:val="000000"/>
                <w:sz w:val="24"/>
                <w:szCs w:val="24"/>
                <w:highlight w:val="none"/>
                <w:lang w:val="en-US" w:eastAsia="zh-CN"/>
              </w:rPr>
              <w:t xml:space="preserve">内容须包含以下几项：①</w:t>
            </w:r>
            <w:r>
              <w:rPr>
                <w:rFonts w:hint="eastAsia" w:ascii="Arial" w:hAnsi="Arial"/>
                <w:color w:val="000000"/>
                <w:sz w:val="24"/>
                <w:szCs w:val="24"/>
                <w:highlight w:val="none"/>
              </w:rPr>
              <w:t xml:space="preserve">服务内容</w:t>
            </w:r>
            <w:r>
              <w:rPr>
                <w:rFonts w:hint="eastAsia" w:ascii="Arial" w:hAnsi="Arial"/>
                <w:color w:val="000000"/>
                <w:sz w:val="24"/>
                <w:szCs w:val="24"/>
                <w:highlight w:val="none"/>
                <w:lang w:eastAsia="zh-CN"/>
              </w:rPr>
              <w:t xml:space="preserve">；②</w:t>
            </w:r>
            <w:r>
              <w:rPr>
                <w:rFonts w:hint="eastAsia" w:ascii="Arial" w:hAnsi="Arial"/>
                <w:color w:val="000000"/>
                <w:sz w:val="24"/>
                <w:szCs w:val="24"/>
                <w:highlight w:val="none"/>
              </w:rPr>
              <w:t xml:space="preserve">响应时间、故障处理、恢复时效</w:t>
            </w:r>
            <w:r>
              <w:rPr>
                <w:rFonts w:hint="eastAsia" w:ascii="Arial" w:hAnsi="Arial"/>
                <w:color w:val="000000"/>
                <w:sz w:val="24"/>
                <w:szCs w:val="24"/>
                <w:highlight w:val="none"/>
                <w:lang w:eastAsia="zh-CN"/>
              </w:rPr>
              <w:t xml:space="preserve">；③</w:t>
            </w:r>
            <w:r>
              <w:rPr>
                <w:rFonts w:hint="eastAsia" w:ascii="Arial" w:hAnsi="Arial"/>
                <w:color w:val="000000"/>
                <w:sz w:val="24"/>
                <w:szCs w:val="24"/>
                <w:highlight w:val="none"/>
              </w:rPr>
              <w:t xml:space="preserve">人员力量</w:t>
            </w:r>
            <w:r>
              <w:rPr>
                <w:rFonts w:hint="eastAsia" w:ascii="Arial" w:hAnsi="Arial"/>
                <w:color w:val="000000"/>
                <w:sz w:val="24"/>
                <w:szCs w:val="24"/>
                <w:highlight w:val="none"/>
                <w:lang w:eastAsia="zh-CN"/>
              </w:rPr>
              <w:t xml:space="preserve">；④</w:t>
            </w:r>
            <w:r>
              <w:rPr>
                <w:rFonts w:hint="eastAsia" w:ascii="Arial" w:hAnsi="Arial"/>
                <w:color w:val="000000"/>
                <w:sz w:val="24"/>
                <w:szCs w:val="24"/>
                <w:highlight w:val="none"/>
                <w:lang w:val="en-US" w:eastAsia="zh-CN"/>
              </w:rPr>
              <w:t xml:space="preserve">技术</w:t>
            </w:r>
            <w:r>
              <w:rPr>
                <w:rFonts w:hint="eastAsia" w:ascii="Arial" w:hAnsi="Arial"/>
                <w:color w:val="000000"/>
                <w:sz w:val="24"/>
                <w:szCs w:val="24"/>
                <w:highlight w:val="none"/>
              </w:rPr>
              <w:t xml:space="preserve">支撑保障等。</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lang w:val="en-US" w:eastAsia="zh-CN"/>
              </w:rPr>
            </w:pPr>
            <w:r>
              <w:rPr>
                <w:rFonts w:hint="eastAsia" w:ascii="Arial" w:hAnsi="Arial"/>
                <w:color w:val="000000"/>
                <w:sz w:val="24"/>
                <w:szCs w:val="24"/>
                <w:highlight w:val="none"/>
                <w:lang w:val="en-US" w:eastAsia="zh-CN"/>
              </w:rPr>
              <w:t xml:space="preserve">上述4项内容，每缺少一项内容扣2分，每有一处内容存在缺陷或不足的扣1分，扣完为止。本项最高得8分。</w:t>
            </w:r>
            <w:r>
              <w:rPr>
                <w:rFonts w:hint="eastAsia" w:ascii="Arial" w:hAnsi="Arial"/>
                <w:color w:val="000000"/>
                <w:sz w:val="24"/>
                <w:szCs w:val="24"/>
                <w:highlight w:val="none"/>
                <w:lang w:val="en-US" w:eastAsia="zh-CN"/>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Arial" w:hAnsi="Arial"/>
                <w:color w:val="000000"/>
                <w:sz w:val="24"/>
                <w:szCs w:val="24"/>
                <w:highlight w:val="none"/>
              </w:rPr>
            </w:r>
            <w:r/>
          </w:p>
        </w:tc>
      </w:tr>
      <w:tr>
        <w:trPr>
          <w:trHeight w:val="3227"/>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培训方案</w:t>
            </w:r>
            <w:r>
              <w:rPr>
                <w:rFonts w:hint="eastAsia" w:ascii="Arial" w:hAnsi="Arial"/>
                <w:color w:val="000000"/>
                <w:sz w:val="24"/>
                <w:szCs w:val="24"/>
                <w:highlight w:val="none"/>
              </w:rPr>
            </w:r>
            <w:r/>
          </w:p>
          <w:p>
            <w:pPr>
              <w:pStyle w:val="821"/>
              <w:jc w:val="center"/>
              <w:spacing w:line="360" w:lineRule="auto"/>
              <w:rPr>
                <w:rFonts w:hint="eastAsia" w:ascii="Arial" w:hAnsi="Arial" w:eastAsia="宋体"/>
                <w:color w:val="000000"/>
                <w:sz w:val="24"/>
                <w:szCs w:val="24"/>
                <w:highlight w:val="none"/>
                <w:lang w:val="en-US" w:eastAsia="zh-CN"/>
              </w:rPr>
            </w:pPr>
            <w:r>
              <w:rPr>
                <w:rFonts w:hint="eastAsia" w:ascii="Arial" w:hAnsi="Arial"/>
                <w:color w:val="000000"/>
                <w:sz w:val="24"/>
                <w:szCs w:val="24"/>
                <w:highlight w:val="none"/>
              </w:rPr>
              <w:t xml:space="preserve">（</w:t>
            </w:r>
            <w:r>
              <w:rPr>
                <w:rFonts w:hint="eastAsia" w:ascii="Arial" w:hAnsi="Arial"/>
                <w:color w:val="000000"/>
                <w:sz w:val="24"/>
                <w:szCs w:val="24"/>
                <w:highlight w:val="none"/>
                <w:lang w:val="en-US" w:eastAsia="zh-CN"/>
              </w:rPr>
              <w:t xml:space="preserve">8</w:t>
            </w:r>
            <w:r>
              <w:rPr>
                <w:rFonts w:hint="eastAsia" w:ascii="Arial" w:hAnsi="Arial"/>
                <w:color w:val="000000"/>
                <w:sz w:val="24"/>
                <w:szCs w:val="24"/>
                <w:highlight w:val="none"/>
              </w:rPr>
              <w:t xml:space="preserve">分）</w:t>
            </w:r>
            <w:r>
              <w:rPr>
                <w:rFonts w:hint="eastAsia" w:ascii="Arial" w:hAnsi="Arial" w:eastAsia="宋体"/>
                <w:color w:val="000000"/>
                <w:sz w:val="24"/>
                <w:szCs w:val="24"/>
                <w:highlight w:val="none"/>
                <w:lang w:val="en-US" w:eastAsia="zh-CN"/>
              </w:rPr>
            </w:r>
            <w:r/>
          </w:p>
        </w:tc>
        <w:tc>
          <w:tcPr>
            <w:tcW w:w="7109" w:type="dxa"/>
            <w:vAlign w:val="center"/>
            <w:textDirection w:val="lrTb"/>
            <w:noWrap w:val="false"/>
          </w:tcPr>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投标文件提供培训方案，</w:t>
            </w:r>
            <w:r>
              <w:rPr>
                <w:rFonts w:hint="eastAsia" w:ascii="Arial" w:hAnsi="Arial"/>
                <w:color w:val="000000"/>
                <w:sz w:val="24"/>
                <w:szCs w:val="24"/>
                <w:highlight w:val="none"/>
                <w:lang w:val="en-US" w:eastAsia="zh-CN"/>
              </w:rPr>
              <w:t xml:space="preserve">内容须包含以下几项：①</w:t>
            </w:r>
            <w:r>
              <w:rPr>
                <w:rFonts w:hint="eastAsia" w:ascii="Arial" w:hAnsi="Arial"/>
                <w:color w:val="000000"/>
                <w:sz w:val="24"/>
                <w:szCs w:val="24"/>
                <w:highlight w:val="none"/>
              </w:rPr>
              <w:t xml:space="preserve">培训</w:t>
            </w:r>
            <w:r>
              <w:rPr>
                <w:rFonts w:hint="eastAsia" w:ascii="Arial" w:hAnsi="Arial"/>
                <w:color w:val="000000"/>
                <w:sz w:val="24"/>
                <w:szCs w:val="24"/>
                <w:highlight w:val="none"/>
                <w:lang w:val="en-US" w:eastAsia="zh-CN"/>
              </w:rPr>
              <w:t xml:space="preserve">目标与</w:t>
            </w:r>
            <w:r>
              <w:rPr>
                <w:rFonts w:hint="eastAsia" w:ascii="Arial" w:hAnsi="Arial"/>
                <w:color w:val="000000"/>
                <w:sz w:val="24"/>
                <w:szCs w:val="24"/>
                <w:highlight w:val="none"/>
              </w:rPr>
              <w:t xml:space="preserve">对象</w:t>
            </w:r>
            <w:r>
              <w:rPr>
                <w:rFonts w:hint="eastAsia" w:ascii="Arial" w:hAnsi="Arial"/>
                <w:color w:val="000000"/>
                <w:sz w:val="24"/>
                <w:szCs w:val="24"/>
                <w:highlight w:val="none"/>
                <w:lang w:eastAsia="zh-CN"/>
              </w:rPr>
              <w:t xml:space="preserve">②</w:t>
            </w:r>
            <w:r>
              <w:rPr>
                <w:rFonts w:hint="eastAsia" w:ascii="Arial" w:hAnsi="Arial"/>
                <w:color w:val="000000"/>
                <w:sz w:val="24"/>
                <w:szCs w:val="24"/>
                <w:highlight w:val="none"/>
              </w:rPr>
              <w:t xml:space="preserve">培训内容</w:t>
            </w:r>
            <w:r>
              <w:rPr>
                <w:rFonts w:hint="eastAsia" w:ascii="Arial" w:hAnsi="Arial"/>
                <w:color w:val="000000"/>
                <w:sz w:val="24"/>
                <w:szCs w:val="24"/>
                <w:highlight w:val="none"/>
                <w:lang w:val="en-US" w:eastAsia="zh-CN"/>
              </w:rPr>
              <w:t xml:space="preserve">与规划</w:t>
            </w:r>
            <w:r>
              <w:rPr>
                <w:rFonts w:hint="eastAsia" w:ascii="Arial" w:hAnsi="Arial"/>
                <w:color w:val="000000"/>
                <w:sz w:val="24"/>
                <w:szCs w:val="24"/>
                <w:highlight w:val="none"/>
                <w:lang w:eastAsia="zh-CN"/>
              </w:rPr>
              <w:t xml:space="preserve">；③</w:t>
            </w:r>
            <w:r>
              <w:rPr>
                <w:rFonts w:hint="eastAsia" w:ascii="Arial" w:hAnsi="Arial"/>
                <w:color w:val="000000"/>
                <w:sz w:val="24"/>
                <w:szCs w:val="24"/>
                <w:highlight w:val="none"/>
                <w:lang w:val="en-US" w:eastAsia="zh-CN"/>
              </w:rPr>
              <w:t xml:space="preserve">培训方式与安排；④培训师资与材料</w:t>
            </w:r>
            <w:r>
              <w:rPr>
                <w:rFonts w:hint="eastAsia" w:ascii="Arial" w:hAnsi="Arial"/>
                <w:color w:val="000000"/>
                <w:sz w:val="24"/>
                <w:szCs w:val="24"/>
                <w:highlight w:val="none"/>
              </w:rPr>
              <w:t xml:space="preserve">等。</w:t>
            </w:r>
            <w:r>
              <w:rPr>
                <w:rFonts w:hint="eastAsia" w:ascii="Arial" w:hAnsi="Arial"/>
                <w:color w:val="000000"/>
                <w:sz w:val="24"/>
                <w:szCs w:val="24"/>
                <w:highlight w:val="none"/>
              </w:rPr>
            </w:r>
            <w:r/>
          </w:p>
          <w:p>
            <w:pPr>
              <w:pStyle w:val="821"/>
              <w:spacing w:line="360" w:lineRule="auto"/>
              <w:rPr>
                <w:rFonts w:hint="eastAsia" w:ascii="Arial" w:hAnsi="Arial"/>
                <w:color w:val="000000"/>
                <w:sz w:val="24"/>
                <w:szCs w:val="24"/>
                <w:highlight w:val="none"/>
                <w:lang w:val="en-US" w:eastAsia="zh-CN"/>
              </w:rPr>
            </w:pPr>
            <w:r>
              <w:rPr>
                <w:rFonts w:hint="eastAsia" w:ascii="Arial" w:hAnsi="Arial"/>
                <w:color w:val="000000"/>
                <w:sz w:val="24"/>
                <w:szCs w:val="24"/>
                <w:highlight w:val="none"/>
                <w:lang w:val="en-US" w:eastAsia="zh-CN"/>
              </w:rPr>
              <w:t xml:space="preserve">上述4项内容，每缺少一项内容扣2分，每有一处内容存在缺陷或不足的扣1分，扣完为止。本项最高得8分。</w:t>
            </w:r>
            <w:r>
              <w:rPr>
                <w:rFonts w:hint="eastAsia" w:ascii="Arial" w:hAnsi="Arial"/>
                <w:color w:val="000000"/>
                <w:sz w:val="24"/>
                <w:szCs w:val="24"/>
                <w:highlight w:val="none"/>
                <w:lang w:val="en-US" w:eastAsia="zh-CN"/>
              </w:rPr>
            </w:r>
            <w:r/>
          </w:p>
          <w:p>
            <w:pPr>
              <w:pStyle w:val="821"/>
              <w:spacing w:line="360" w:lineRule="auto"/>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Arial" w:hAnsi="Arial"/>
                <w:color w:val="000000"/>
                <w:sz w:val="24"/>
                <w:szCs w:val="24"/>
                <w:highlight w:val="none"/>
              </w:rPr>
            </w:r>
            <w:r/>
          </w:p>
        </w:tc>
      </w:tr>
      <w:tr>
        <w:trPr>
          <w:trHeight w:val="1826"/>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病理科CNAS医学实验室建设经验</w:t>
            </w:r>
            <w:r>
              <w:rPr>
                <w:rFonts w:hint="eastAsia" w:ascii="Arial" w:hAnsi="Arial"/>
                <w:color w:val="000000"/>
                <w:sz w:val="24"/>
                <w:szCs w:val="24"/>
                <w:highlight w:val="none"/>
              </w:rPr>
            </w:r>
            <w:r/>
          </w:p>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（3分）</w:t>
            </w:r>
            <w:r>
              <w:rPr>
                <w:rFonts w:hint="eastAsia" w:ascii="Arial" w:hAnsi="Arial"/>
                <w:color w:val="000000"/>
                <w:sz w:val="24"/>
                <w:szCs w:val="24"/>
                <w:highlight w:val="none"/>
              </w:rPr>
            </w:r>
            <w:r/>
          </w:p>
        </w:tc>
        <w:tc>
          <w:tcPr>
            <w:tcW w:w="7109" w:type="dxa"/>
            <w:vAlign w:val="center"/>
            <w:textDirection w:val="lrTb"/>
            <w:noWrap w:val="false"/>
          </w:tcPr>
          <w:p>
            <w:pPr>
              <w:pStyle w:val="821"/>
              <w:ind w:firstLine="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投标人或投标产品制造商提供其所投病理系统相关产品的用户通过病理科CNAS认可评审的应用案例，并出具有效证明材料（如相关用户通过CNAS认可的新闻截图，以及所投病理系统相关产品与该医院合作项目的合同复印件进行证明），每提供一份有效证明材料得1分，本项最高得3分。</w:t>
            </w:r>
            <w:r>
              <w:rPr>
                <w:rFonts w:hint="eastAsia" w:ascii="Arial" w:hAnsi="Arial"/>
                <w:color w:val="000000"/>
                <w:sz w:val="24"/>
                <w:szCs w:val="24"/>
                <w:highlight w:val="none"/>
              </w:rPr>
            </w:r>
            <w:r/>
          </w:p>
        </w:tc>
      </w:tr>
      <w:tr>
        <w:trPr>
          <w:trHeight w:val="1007"/>
        </w:trPr>
        <w:tc>
          <w:tcPr>
            <w:tcW w:w="1750" w:type="dxa"/>
            <w:vAlign w:val="center"/>
            <w:textDirection w:val="lrTb"/>
            <w:noWrap w:val="false"/>
          </w:tcPr>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实施团队服务能力</w:t>
            </w:r>
            <w:r>
              <w:rPr>
                <w:rFonts w:hint="eastAsia" w:ascii="Arial" w:hAnsi="Arial"/>
                <w:color w:val="000000"/>
                <w:sz w:val="24"/>
                <w:szCs w:val="24"/>
                <w:highlight w:val="none"/>
              </w:rPr>
            </w:r>
            <w:r/>
          </w:p>
          <w:p>
            <w:pPr>
              <w:pStyle w:val="821"/>
              <w:jc w:val="center"/>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w:t>
            </w:r>
            <w:r>
              <w:rPr>
                <w:rFonts w:hint="eastAsia" w:ascii="Arial" w:hAnsi="Arial"/>
                <w:color w:val="000000"/>
                <w:sz w:val="24"/>
                <w:szCs w:val="24"/>
                <w:highlight w:val="none"/>
                <w:lang w:val="en-US" w:eastAsia="zh-CN"/>
              </w:rPr>
              <w:t xml:space="preserve">5</w:t>
            </w:r>
            <w:r>
              <w:rPr>
                <w:rFonts w:hint="eastAsia" w:ascii="Arial" w:hAnsi="Arial"/>
                <w:color w:val="000000"/>
                <w:sz w:val="24"/>
                <w:szCs w:val="24"/>
                <w:highlight w:val="none"/>
              </w:rPr>
              <w:t xml:space="preserve">分）</w:t>
            </w:r>
            <w:r>
              <w:rPr>
                <w:rFonts w:hint="eastAsia" w:ascii="Arial" w:hAnsi="Arial"/>
                <w:color w:val="000000"/>
                <w:sz w:val="24"/>
                <w:szCs w:val="24"/>
                <w:highlight w:val="none"/>
              </w:rPr>
            </w:r>
            <w:r/>
          </w:p>
        </w:tc>
        <w:tc>
          <w:tcPr>
            <w:tcW w:w="7109" w:type="dxa"/>
            <w:vAlign w:val="center"/>
            <w:textDirection w:val="lrTb"/>
            <w:noWrap w:val="false"/>
          </w:tcPr>
          <w:p>
            <w:pPr>
              <w:pStyle w:val="821"/>
              <w:ind w:firstLine="0"/>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根据投标人或投标产品制造商为本项目配备的人员情况进行综合评审。</w:t>
            </w:r>
            <w:r>
              <w:rPr>
                <w:rFonts w:hint="eastAsia" w:ascii="Arial" w:hAnsi="Arial"/>
                <w:color w:val="000000"/>
                <w:sz w:val="24"/>
                <w:szCs w:val="24"/>
                <w:highlight w:val="none"/>
              </w:rPr>
            </w:r>
            <w:r/>
          </w:p>
          <w:p>
            <w:pPr>
              <w:pStyle w:val="821"/>
              <w:ind w:firstLine="482"/>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1、拟配备的项目负责人具有项目管理专业人员认证(PMP)证书的得1分，具有CNAS医学实验室内审培训合格证书的得1分。本项最高得2分。</w:t>
            </w:r>
            <w:r>
              <w:rPr>
                <w:rFonts w:hint="eastAsia" w:ascii="Arial" w:hAnsi="Arial"/>
                <w:color w:val="000000"/>
                <w:sz w:val="24"/>
                <w:szCs w:val="24"/>
                <w:highlight w:val="none"/>
              </w:rPr>
            </w:r>
            <w:r/>
          </w:p>
          <w:p>
            <w:pPr>
              <w:pStyle w:val="821"/>
              <w:ind w:firstLine="482"/>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注：投标文件中提供相关证书扫描件并加盖投标人公章，未按要求提供不得分。</w:t>
            </w:r>
            <w:r>
              <w:rPr>
                <w:rFonts w:hint="eastAsia" w:ascii="Arial" w:hAnsi="Arial"/>
                <w:color w:val="000000"/>
                <w:sz w:val="24"/>
                <w:szCs w:val="24"/>
                <w:highlight w:val="none"/>
              </w:rPr>
            </w:r>
            <w:r/>
          </w:p>
          <w:p>
            <w:pPr>
              <w:pStyle w:val="821"/>
              <w:ind w:firstLine="482"/>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2、项目组人员（不含项目负责人）：具有CNAS医学实验室内审培训合格证书的，每有1人得1分，本项最高得</w:t>
            </w:r>
            <w:r>
              <w:rPr>
                <w:rFonts w:hint="eastAsia" w:ascii="Arial" w:hAnsi="Arial"/>
                <w:color w:val="000000"/>
                <w:sz w:val="24"/>
                <w:szCs w:val="24"/>
                <w:highlight w:val="none"/>
                <w:lang w:val="en-US" w:eastAsia="zh-CN"/>
              </w:rPr>
              <w:t xml:space="preserve">3</w:t>
            </w:r>
            <w:r>
              <w:rPr>
                <w:rFonts w:hint="eastAsia" w:ascii="Arial" w:hAnsi="Arial"/>
                <w:color w:val="000000"/>
                <w:sz w:val="24"/>
                <w:szCs w:val="24"/>
                <w:highlight w:val="none"/>
              </w:rPr>
              <w:t xml:space="preserve">分。须提供证书扫描件，未提供者不得分。</w:t>
            </w:r>
            <w:r>
              <w:rPr>
                <w:rFonts w:hint="eastAsia" w:ascii="Arial" w:hAnsi="Arial"/>
                <w:color w:val="000000"/>
                <w:sz w:val="24"/>
                <w:szCs w:val="24"/>
                <w:highlight w:val="none"/>
              </w:rPr>
            </w:r>
            <w:r/>
          </w:p>
          <w:p>
            <w:pPr>
              <w:pStyle w:val="821"/>
              <w:ind w:firstLine="482"/>
              <w:spacing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注：投标文件中提供相关证书扫描件并加盖投标人公章，未按要求提供不得分。</w:t>
            </w:r>
            <w:r>
              <w:rPr>
                <w:rFonts w:hint="eastAsia" w:ascii="Arial" w:hAnsi="Arial"/>
                <w:color w:val="000000"/>
                <w:sz w:val="24"/>
                <w:szCs w:val="24"/>
                <w:highlight w:val="none"/>
              </w:rPr>
            </w:r>
            <w:r/>
          </w:p>
        </w:tc>
      </w:tr>
    </w:tbl>
    <w:p>
      <w:pPr>
        <w:pStyle w:val="821"/>
        <w:ind w:firstLine="42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jc w:val="center"/>
        <w:keepNex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821"/>
        <w:jc w:val="center"/>
        <w:keepNext/>
        <w:rPr>
          <w:rFonts w:hint="eastAsia" w:ascii="黑体" w:hAnsi="Times New Roman" w:eastAsia="黑体"/>
          <w:bCs/>
          <w:color w:val="000000"/>
          <w:sz w:val="44"/>
          <w:szCs w:val="28"/>
          <w:highlight w:val="none"/>
        </w:rPr>
        <w:outlineLvl w:val="0"/>
      </w:pPr>
      <w:r/>
      <w:bookmarkStart w:id="513" w:name="_Toc17090"/>
      <w:r/>
      <w:bookmarkStart w:id="514" w:name="_Toc20444"/>
      <w:r/>
      <w:bookmarkStart w:id="515" w:name="_Toc11204"/>
      <w:r/>
      <w:bookmarkStart w:id="516" w:name="_Toc20963"/>
      <w:r/>
      <w:bookmarkStart w:id="517" w:name="_Toc14448"/>
      <w:r>
        <w:rPr>
          <w:rFonts w:hint="eastAsia" w:ascii="黑体" w:hAnsi="Times New Roman" w:eastAsia="黑体"/>
          <w:bCs/>
          <w:color w:val="000000"/>
          <w:sz w:val="44"/>
          <w:szCs w:val="28"/>
          <w:highlight w:val="none"/>
        </w:rPr>
        <w:t xml:space="preserve">第六章  投标</w:t>
      </w:r>
      <w:bookmarkEnd w:id="479"/>
      <w:r/>
      <w:bookmarkEnd w:id="480"/>
      <w:r/>
      <w:bookmarkEnd w:id="481"/>
      <w:r>
        <w:rPr>
          <w:rFonts w:hint="eastAsia" w:ascii="黑体" w:hAnsi="Times New Roman" w:eastAsia="黑体"/>
          <w:bCs/>
          <w:color w:val="000000"/>
          <w:sz w:val="44"/>
          <w:szCs w:val="28"/>
          <w:highlight w:val="none"/>
        </w:rPr>
        <w:t xml:space="preserve">文件格式</w:t>
      </w:r>
      <w:bookmarkEnd w:id="513"/>
      <w:r/>
      <w:bookmarkEnd w:id="514"/>
      <w:r/>
      <w:bookmarkEnd w:id="515"/>
      <w:r/>
      <w:bookmarkEnd w:id="516"/>
      <w:r/>
      <w:bookmarkEnd w:id="517"/>
      <w:r>
        <w:rPr>
          <w:rFonts w:hint="eastAsia" w:ascii="黑体" w:hAnsi="Times New Roman" w:eastAsia="黑体"/>
          <w:bCs/>
          <w:color w:val="000000"/>
          <w:sz w:val="44"/>
          <w:szCs w:val="28"/>
          <w:highlight w:val="none"/>
        </w:rPr>
      </w:r>
      <w:r/>
    </w:p>
    <w:p>
      <w:pPr>
        <w:pStyle w:val="821"/>
        <w:jc w:val="center"/>
        <w:rPr>
          <w:rFonts w:hint="eastAsia" w:ascii="宋体" w:hAnsi="宋体"/>
          <w:b/>
          <w:color w:val="000000"/>
          <w:sz w:val="72"/>
          <w:szCs w:val="21"/>
          <w:highlight w:val="none"/>
        </w:rPr>
      </w:pPr>
      <w:r/>
      <w:bookmarkStart w:id="518" w:name="_Hlt26671244"/>
      <w:r/>
      <w:bookmarkEnd w:id="518"/>
      <w:r/>
      <w:bookmarkStart w:id="519" w:name="_Hlt26955039"/>
      <w:r/>
      <w:bookmarkEnd w:id="519"/>
      <w:r/>
      <w:bookmarkStart w:id="520" w:name="_Toc49090576"/>
      <w:r/>
      <w:bookmarkStart w:id="521" w:name="_Toc26554094"/>
      <w:r/>
      <w:bookmarkStart w:id="522" w:name="_Toc120614282"/>
      <w:r>
        <w:rPr>
          <w:rFonts w:hint="eastAsia" w:ascii="宋体" w:hAnsi="宋体"/>
          <w:b/>
          <w:color w:val="000000"/>
          <w:sz w:val="72"/>
          <w:szCs w:val="21"/>
          <w:highlight w:val="none"/>
        </w:rPr>
      </w:r>
      <w:r/>
    </w:p>
    <w:p>
      <w:pPr>
        <w:pStyle w:val="821"/>
        <w:jc w:val="center"/>
        <w:rPr>
          <w:rFonts w:hint="eastAsia" w:ascii="宋体" w:hAnsi="宋体"/>
          <w:b/>
          <w:color w:val="000000"/>
          <w:sz w:val="72"/>
          <w:szCs w:val="21"/>
          <w:highlight w:val="none"/>
        </w:rPr>
      </w:pPr>
      <w:r/>
      <w:bookmarkStart w:id="523" w:name="_Toc23832"/>
      <w:r/>
      <w:bookmarkStart w:id="524" w:name="_Toc28513"/>
      <w:r/>
      <w:bookmarkStart w:id="525" w:name="_Toc20259"/>
      <w:r>
        <w:rPr>
          <w:rFonts w:hint="eastAsia" w:ascii="宋体" w:hAnsi="宋体"/>
          <w:b/>
          <w:color w:val="000000"/>
          <w:sz w:val="72"/>
          <w:szCs w:val="21"/>
          <w:highlight w:val="none"/>
        </w:rPr>
        <w:t xml:space="preserve">投  标  文  件</w:t>
      </w:r>
      <w:bookmarkEnd w:id="523"/>
      <w:r/>
      <w:bookmarkEnd w:id="524"/>
      <w:r/>
      <w:bookmarkEnd w:id="525"/>
      <w:r>
        <w:rPr>
          <w:rFonts w:hint="eastAsia" w:ascii="宋体" w:hAnsi="宋体"/>
          <w:b/>
          <w:color w:val="000000"/>
          <w:sz w:val="72"/>
          <w:szCs w:val="21"/>
          <w:highlight w:val="none"/>
        </w:rPr>
      </w:r>
      <w:r/>
    </w:p>
    <w:p>
      <w:pPr>
        <w:pStyle w:val="82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2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2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1"/>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21"/>
        <w:ind w:firstLine="1084"/>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21"/>
        <w:ind w:firstLine="1084"/>
        <w:spacing w:line="36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21"/>
        <w:spacing w:line="36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w:t>
      </w:r>
      <w:r>
        <w:rPr>
          <w:rFonts w:hint="eastAsia" w:ascii="宋体" w:hAnsi="宋体"/>
          <w:b/>
          <w:color w:val="000000"/>
          <w:sz w:val="36"/>
          <w:szCs w:val="21"/>
          <w:highlight w:val="none"/>
          <w:u w:val="single"/>
        </w:rPr>
        <w:t xml:space="preserve">（加盖CA电子公章） </w:t>
      </w:r>
      <w:r>
        <w:rPr>
          <w:rFonts w:hint="eastAsia" w:ascii="宋体" w:hAnsi="宋体"/>
          <w:b/>
          <w:color w:val="000000"/>
          <w:sz w:val="36"/>
          <w:szCs w:val="21"/>
          <w:highlight w:val="none"/>
          <w:u w:val="single"/>
        </w:rPr>
      </w:r>
      <w:r/>
    </w:p>
    <w:p>
      <w:pPr>
        <w:pStyle w:val="821"/>
        <w:spacing w:line="36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日期：</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21"/>
        <w:spacing w:line="440" w:lineRule="exact"/>
        <w:rPr>
          <w:rFonts w:ascii="宋体" w:hAnsi="宋体"/>
          <w:color w:val="000000"/>
          <w:szCs w:val="21"/>
          <w:highlight w:val="none"/>
        </w:rPr>
      </w:pPr>
      <w:r>
        <w:rPr>
          <w:rFonts w:ascii="宋体" w:hAnsi="宋体"/>
          <w:color w:val="000000"/>
          <w:szCs w:val="21"/>
          <w:highlight w:val="none"/>
        </w:rPr>
      </w:r>
      <w:r/>
    </w:p>
    <w:p>
      <w:pPr>
        <w:pStyle w:val="821"/>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ascii="宋体" w:hAnsi="宋体"/>
          <w:b/>
          <w:bCs/>
          <w:color w:val="000000"/>
          <w:sz w:val="32"/>
          <w:szCs w:val="32"/>
          <w:highlight w:val="none"/>
        </w:rPr>
      </w:r>
      <w:r/>
    </w:p>
    <w:p>
      <w:pPr>
        <w:pStyle w:val="8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8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一、法人或者其他组织的营业执照等证明文件，自然人的身份证明</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二、上一年度的财务状况报告（投标人成立不满一年无需提供）</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四、具备履行合同所必需的设备和专业技术能力的书面声明</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五、参加政府采购活动前 3 年内在经营活动中没有重大违法记录的书面声明</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六、特定资格要求的证明文件（如果本项目设置特定资格要求，则需要提供）</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七、法人授权书</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八、投标函</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九、小微企业声明函</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十、残疾人福利性单位声明函</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十一、联合体协议</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十二、投标分项报价表</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十三、技术要求响应及偏离表</w:t>
      </w:r>
      <w:r>
        <w:rPr>
          <w:rFonts w:hint="eastAsia" w:ascii="宋体" w:hAnsi="宋体"/>
          <w:iCs/>
          <w:color w:val="000000"/>
          <w:sz w:val="24"/>
          <w:szCs w:val="21"/>
          <w:highlight w:val="none"/>
        </w:rPr>
      </w:r>
      <w:r/>
    </w:p>
    <w:p>
      <w:pPr>
        <w:pStyle w:val="821"/>
        <w:spacing w:line="360" w:lineRule="auto"/>
        <w:rPr>
          <w:rFonts w:ascii="宋体" w:hAnsi="宋体"/>
          <w:iCs/>
          <w:color w:val="000000"/>
          <w:sz w:val="24"/>
          <w:szCs w:val="21"/>
          <w:highlight w:val="none"/>
        </w:rPr>
      </w:pPr>
      <w:r>
        <w:rPr>
          <w:rFonts w:hint="eastAsia" w:ascii="宋体" w:hAnsi="宋体"/>
          <w:iCs/>
          <w:color w:val="000000"/>
          <w:sz w:val="24"/>
          <w:szCs w:val="21"/>
          <w:highlight w:val="none"/>
        </w:rPr>
        <w:t xml:space="preserve">十四、商务要求响应及偏离表</w:t>
      </w:r>
      <w:r>
        <w:rPr>
          <w:rFonts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十五、开标一览表</w:t>
      </w:r>
      <w:r>
        <w:rPr>
          <w:rFonts w:hint="eastAsia" w:ascii="宋体" w:hAnsi="宋体"/>
          <w:iCs/>
          <w:color w:val="000000"/>
          <w:sz w:val="24"/>
          <w:szCs w:val="21"/>
          <w:highlight w:val="none"/>
        </w:rPr>
      </w:r>
      <w:r/>
    </w:p>
    <w:p>
      <w:pPr>
        <w:pStyle w:val="821"/>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十六、类似项目业绩一览表 </w:t>
      </w:r>
      <w:r>
        <w:rPr>
          <w:rFonts w:hint="eastAsia" w:ascii="宋体" w:hAnsi="宋体"/>
          <w:color w:val="000000"/>
          <w:sz w:val="24"/>
          <w:szCs w:val="21"/>
          <w:highlight w:val="none"/>
        </w:rPr>
      </w:r>
      <w:r/>
    </w:p>
    <w:p>
      <w:pPr>
        <w:pStyle w:val="821"/>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十七、项目团队人员一览表</w:t>
      </w:r>
      <w:r>
        <w:rPr>
          <w:rFonts w:hint="eastAsia"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21"/>
        <w:spacing w:line="360" w:lineRule="auto"/>
        <w:rPr>
          <w:rFonts w:hint="eastAsia" w:ascii="黑体" w:hAnsi="黑体" w:eastAsia="黑体"/>
          <w:iCs/>
          <w:color w:val="000000"/>
          <w:sz w:val="32"/>
          <w:szCs w:val="32"/>
          <w:highlight w:val="none"/>
          <w:u w:val="single"/>
        </w:rPr>
      </w:pPr>
      <w:r/>
      <w:bookmarkStart w:id="526" w:name="_Toc27320"/>
      <w:r/>
      <w:bookmarkStart w:id="527" w:name="_Toc10784"/>
      <w:r/>
      <w:bookmarkStart w:id="528" w:name="_Toc1059"/>
      <w:r>
        <w:rPr>
          <w:rFonts w:hint="eastAsia" w:ascii="黑体" w:hAnsi="黑体" w:eastAsia="黑体"/>
          <w:iCs/>
          <w:color w:val="000000"/>
          <w:sz w:val="32"/>
          <w:szCs w:val="32"/>
          <w:highlight w:val="none"/>
          <w:u w:val="single"/>
        </w:rPr>
        <w:t xml:space="preserve">一、法人或者其他组织的营业执照等证明文件，自然人的身份证明</w:t>
      </w:r>
      <w:bookmarkEnd w:id="526"/>
      <w:r/>
      <w:bookmarkEnd w:id="527"/>
      <w:r/>
      <w:bookmarkEnd w:id="528"/>
      <w:r>
        <w:rPr>
          <w:rFonts w:hint="eastAsia" w:ascii="黑体" w:hAnsi="黑体" w:eastAsia="黑体"/>
          <w:iCs/>
          <w:color w:val="000000"/>
          <w:sz w:val="32"/>
          <w:szCs w:val="32"/>
          <w:highlight w:val="none"/>
          <w:u w:val="single"/>
        </w:rPr>
      </w:r>
      <w:r/>
    </w:p>
    <w:p>
      <w:pPr>
        <w:pStyle w:val="821"/>
        <w:ind w:firstLine="480"/>
        <w:spacing w:line="360" w:lineRule="auto"/>
        <w:rPr>
          <w:rFonts w:ascii="宋体" w:hAnsi="宋体"/>
          <w:iCs/>
          <w:color w:val="000000"/>
          <w:sz w:val="24"/>
          <w:szCs w:val="21"/>
          <w:highlight w:val="none"/>
        </w:rPr>
      </w:pPr>
      <w:r>
        <w:rPr>
          <w:rFonts w:ascii="宋体" w:hAnsi="宋体"/>
          <w:iCs/>
          <w:color w:val="000000"/>
          <w:sz w:val="24"/>
          <w:szCs w:val="21"/>
          <w:highlight w:val="none"/>
        </w:rPr>
      </w:r>
      <w:r/>
    </w:p>
    <w:p>
      <w:pPr>
        <w:pStyle w:val="821"/>
        <w:spacing w:line="360" w:lineRule="auto"/>
        <w:rPr>
          <w:rFonts w:hint="eastAsia" w:ascii="黑体" w:hAnsi="黑体" w:eastAsia="黑体"/>
          <w:iCs/>
          <w:color w:val="000000"/>
          <w:sz w:val="32"/>
          <w:szCs w:val="32"/>
          <w:highlight w:val="none"/>
          <w:u w:val="single"/>
        </w:rPr>
      </w:pPr>
      <w:r/>
      <w:bookmarkStart w:id="529" w:name="_Toc15381"/>
      <w:r/>
      <w:bookmarkStart w:id="530" w:name="_Toc12625"/>
      <w:r/>
      <w:bookmarkStart w:id="531" w:name="_Toc24960"/>
      <w:r>
        <w:rPr>
          <w:rFonts w:hint="eastAsia" w:ascii="黑体" w:hAnsi="黑体" w:eastAsia="黑体"/>
          <w:iCs/>
          <w:color w:val="000000"/>
          <w:sz w:val="32"/>
          <w:szCs w:val="32"/>
          <w:highlight w:val="none"/>
          <w:u w:val="single"/>
        </w:rPr>
        <w:t xml:space="preserve">二、上一年度的财务状况报告</w:t>
      </w:r>
      <w:bookmarkEnd w:id="529"/>
      <w:r/>
      <w:bookmarkEnd w:id="530"/>
      <w:r/>
      <w:bookmarkEnd w:id="531"/>
      <w:r>
        <w:rPr>
          <w:rFonts w:hint="eastAsia" w:ascii="黑体" w:hAnsi="黑体" w:eastAsia="黑体"/>
          <w:iCs/>
          <w:color w:val="000000"/>
          <w:sz w:val="32"/>
          <w:szCs w:val="32"/>
          <w:highlight w:val="none"/>
          <w:u w:val="single"/>
        </w:rPr>
      </w:r>
      <w:r/>
    </w:p>
    <w:p>
      <w:pPr>
        <w:pStyle w:val="821"/>
        <w:ind w:firstLine="480"/>
        <w:spacing w:line="360" w:lineRule="auto"/>
        <w:rPr>
          <w:rFonts w:ascii="宋体" w:hAnsi="宋体"/>
          <w:bCs/>
          <w:iCs/>
          <w:color w:val="000000"/>
          <w:sz w:val="24"/>
          <w:szCs w:val="21"/>
          <w:highlight w:val="none"/>
        </w:rPr>
      </w:pPr>
      <w:r>
        <w:rPr>
          <w:rFonts w:hint="eastAsia" w:ascii="宋体" w:hAnsi="宋体"/>
          <w:bCs/>
          <w:iCs/>
          <w:color w:val="000000"/>
          <w:sz w:val="24"/>
          <w:szCs w:val="21"/>
          <w:highlight w:val="none"/>
        </w:rPr>
        <w:t xml:space="preserve">根据连财购〔2023〕4号、连财购〔2023〕9号文件精神，可以提供《财务状况报告及税收、社会保障资金缴纳情况承诺函》。</w:t>
      </w:r>
      <w:r>
        <w:rPr>
          <w:rFonts w:ascii="宋体" w:hAnsi="宋体"/>
          <w:bCs/>
          <w:iCs/>
          <w:color w:val="000000"/>
          <w:sz w:val="24"/>
          <w:szCs w:val="21"/>
          <w:highlight w:val="none"/>
        </w:rPr>
      </w:r>
      <w:r/>
    </w:p>
    <w:p>
      <w:pPr>
        <w:pStyle w:val="821"/>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130"/>
        <w:rPr>
          <w:color w:val="000000"/>
          <w:highlight w:val="none"/>
        </w:rPr>
      </w:pPr>
      <w:r>
        <w:rPr>
          <w:color w:val="000000"/>
          <w:highlight w:val="none"/>
        </w:rPr>
      </w:r>
      <w:r/>
    </w:p>
    <w:p>
      <w:pPr>
        <w:pStyle w:val="82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21"/>
        <w:ind w:firstLine="480"/>
        <w:spacing w:line="360" w:lineRule="auto"/>
        <w:rPr>
          <w:rFonts w:hint="eastAsia" w:ascii="黑体" w:hAnsi="黑体" w:eastAsia="黑体"/>
          <w:iCs/>
          <w:color w:val="000000"/>
          <w:sz w:val="32"/>
          <w:szCs w:val="32"/>
          <w:highlight w:val="none"/>
          <w:u w:val="single"/>
        </w:rPr>
      </w:pPr>
      <w:r>
        <w:rPr>
          <w:rFonts w:hint="eastAsia" w:ascii="宋体" w:hAnsi="宋体" w:cs="宋体"/>
          <w:color w:val="000000"/>
          <w:sz w:val="24"/>
          <w:highlight w:val="none"/>
        </w:rPr>
        <w:t xml:space="preserve">日期：   年   月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w:t>
      </w:r>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bookmarkStart w:id="532" w:name="_Toc287"/>
      <w:r/>
      <w:bookmarkStart w:id="533" w:name="_Toc22415"/>
      <w:r/>
      <w:bookmarkStart w:id="534" w:name="_Toc18488"/>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rPr>
          <w:rFonts w:hint="eastAsia" w:ascii="黑体" w:hAnsi="黑体" w:eastAsia="黑体"/>
          <w:iCs/>
          <w:color w:val="000000"/>
          <w:sz w:val="32"/>
          <w:szCs w:val="32"/>
          <w:highlight w:val="none"/>
          <w:u w:val="single"/>
        </w:rPr>
        <w:t xml:space="preserve">三、依法缴纳税收和社会保障资金的相关材料</w:t>
      </w:r>
      <w:bookmarkEnd w:id="532"/>
      <w:r/>
      <w:bookmarkEnd w:id="533"/>
      <w:r/>
      <w:bookmarkEnd w:id="534"/>
      <w:r>
        <w:rPr>
          <w:rFonts w:hint="eastAsia" w:ascii="黑体" w:hAnsi="黑体" w:eastAsia="黑体"/>
          <w:iCs/>
          <w:color w:val="000000"/>
          <w:sz w:val="32"/>
          <w:szCs w:val="32"/>
          <w:highlight w:val="none"/>
          <w:u w:val="single"/>
        </w:rPr>
      </w:r>
      <w:r/>
    </w:p>
    <w:p>
      <w:pPr>
        <w:pStyle w:val="821"/>
        <w:ind w:firstLine="480"/>
        <w:spacing w:line="360" w:lineRule="auto"/>
        <w:rPr>
          <w:rFonts w:hint="eastAsia" w:ascii="宋体" w:hAnsi="宋体"/>
          <w:bCs/>
          <w:iCs/>
          <w:color w:val="000000"/>
          <w:sz w:val="24"/>
          <w:szCs w:val="21"/>
          <w:highlight w:val="none"/>
        </w:rPr>
      </w:pPr>
      <w:r>
        <w:rPr>
          <w:rFonts w:hint="eastAsia" w:ascii="宋体" w:hAnsi="宋体"/>
          <w:bCs/>
          <w:iCs/>
          <w:color w:val="000000"/>
          <w:sz w:val="24"/>
          <w:szCs w:val="21"/>
          <w:highlight w:val="none"/>
        </w:rPr>
        <w:t xml:space="preserve">根据连财购〔2023〕4号、连财购〔2023〕9号文件精神，可以提供《财务状况报告及税收、社会保障资金缴纳情况承诺函》。</w:t>
      </w:r>
      <w:r>
        <w:rPr>
          <w:rFonts w:hint="eastAsia" w:ascii="宋体" w:hAnsi="宋体"/>
          <w:bCs/>
          <w:iCs/>
          <w:color w:val="000000"/>
          <w:sz w:val="24"/>
          <w:szCs w:val="21"/>
          <w:highlight w:val="none"/>
        </w:rPr>
      </w:r>
      <w:r/>
    </w:p>
    <w:p>
      <w:pPr>
        <w:pStyle w:val="821"/>
        <w:jc w:val="center"/>
        <w:spacing w:line="360" w:lineRule="auto"/>
        <w:rPr>
          <w:color w:val="000000"/>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color w:val="000000"/>
          <w:highlight w:val="none"/>
        </w:rPr>
      </w:r>
      <w:r/>
    </w:p>
    <w:p>
      <w:pPr>
        <w:pStyle w:val="82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21"/>
        <w:spacing w:line="360" w:lineRule="auto"/>
        <w:rPr>
          <w:rFonts w:hint="eastAsia" w:ascii="黑体" w:hAnsi="黑体" w:eastAsia="黑体"/>
          <w:iCs/>
          <w:color w:val="000000"/>
          <w:sz w:val="32"/>
          <w:szCs w:val="32"/>
          <w:highlight w:val="none"/>
          <w:u w:val="single"/>
        </w:rPr>
      </w:pPr>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bookmarkStart w:id="535" w:name="_Toc25206"/>
      <w:r/>
      <w:bookmarkStart w:id="536" w:name="_Toc22102"/>
      <w:r/>
      <w:bookmarkStart w:id="537" w:name="_Toc28185"/>
      <w:r>
        <w:rPr>
          <w:rFonts w:hint="eastAsia" w:ascii="黑体" w:hAnsi="黑体" w:eastAsia="黑体"/>
          <w:iCs/>
          <w:color w:val="000000"/>
          <w:sz w:val="32"/>
          <w:szCs w:val="32"/>
          <w:highlight w:val="none"/>
          <w:u w:val="single"/>
        </w:rPr>
        <w:t xml:space="preserve">四、具备履行合同所必需的设备和专业技术能力的书面声明</w:t>
      </w:r>
      <w:bookmarkEnd w:id="535"/>
      <w:r/>
      <w:bookmarkEnd w:id="536"/>
      <w:r/>
      <w:bookmarkEnd w:id="537"/>
      <w:r>
        <w:rPr>
          <w:rFonts w:hint="eastAsia" w:ascii="黑体" w:hAnsi="黑体" w:eastAsia="黑体"/>
          <w:iCs/>
          <w:color w:val="000000"/>
          <w:sz w:val="32"/>
          <w:szCs w:val="32"/>
          <w:highlight w:val="none"/>
          <w:u w:val="single"/>
        </w:rPr>
        <w:t xml:space="preserve">及证明材料</w:t>
      </w:r>
      <w:r>
        <w:rPr>
          <w:rFonts w:hint="eastAsia" w:ascii="黑体" w:hAnsi="黑体" w:eastAsia="黑体"/>
          <w:iCs/>
          <w:color w:val="000000"/>
          <w:sz w:val="32"/>
          <w:szCs w:val="32"/>
          <w:highlight w:val="none"/>
          <w:u w:val="single"/>
        </w:rPr>
      </w:r>
      <w:r/>
    </w:p>
    <w:p>
      <w:pPr>
        <w:pStyle w:val="821"/>
        <w:ind w:firstLine="492"/>
        <w:spacing w:line="360" w:lineRule="auto"/>
        <w:rPr>
          <w:rFonts w:hint="eastAsia" w:ascii="宋体" w:hAnsi="宋体"/>
          <w:bCs/>
          <w:iCs/>
          <w:color w:val="000000"/>
          <w:sz w:val="24"/>
          <w:szCs w:val="21"/>
          <w:highlight w:val="none"/>
        </w:rPr>
      </w:pPr>
      <w:r>
        <w:rPr>
          <w:rFonts w:hint="eastAsia" w:ascii="宋体" w:hAnsi="宋体"/>
          <w:bCs/>
          <w:i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iCs/>
          <w:color w:val="000000"/>
          <w:sz w:val="24"/>
          <w:szCs w:val="21"/>
          <w:highlight w:val="none"/>
        </w:rPr>
      </w:r>
      <w:r/>
    </w:p>
    <w:p>
      <w:pPr>
        <w:pStyle w:val="821"/>
        <w:ind w:firstLine="492"/>
        <w:spacing w:line="360" w:lineRule="auto"/>
        <w:rPr>
          <w:rFonts w:hint="eastAsia" w:ascii="宋体" w:hAnsi="宋体"/>
          <w:bCs/>
          <w:iCs/>
          <w:color w:val="000000"/>
          <w:sz w:val="24"/>
          <w:szCs w:val="21"/>
          <w:highlight w:val="none"/>
        </w:rPr>
      </w:pPr>
      <w:r>
        <w:rPr>
          <w:rFonts w:hint="eastAsia" w:ascii="宋体" w:hAnsi="宋体"/>
          <w:bCs/>
          <w:iCs/>
          <w:color w:val="000000"/>
          <w:sz w:val="24"/>
          <w:szCs w:val="21"/>
          <w:highlight w:val="none"/>
        </w:rPr>
        <w:t xml:space="preserve">主要设备有：</w:t>
      </w:r>
      <w:r>
        <w:rPr>
          <w:rFonts w:hint="eastAsia" w:ascii="宋体" w:hAnsi="宋体"/>
          <w:bCs/>
          <w:iCs/>
          <w:color w:val="000000"/>
          <w:sz w:val="24"/>
          <w:szCs w:val="21"/>
          <w:highlight w:val="none"/>
          <w:u w:val="single"/>
        </w:rPr>
        <w:t xml:space="preserve">                       </w:t>
      </w:r>
      <w:r>
        <w:rPr>
          <w:rFonts w:hint="eastAsia" w:ascii="宋体" w:hAnsi="宋体"/>
          <w:bCs/>
          <w:iCs/>
          <w:color w:val="000000"/>
          <w:sz w:val="24"/>
          <w:szCs w:val="21"/>
          <w:highlight w:val="none"/>
        </w:rPr>
        <w:t xml:space="preserve">。</w:t>
      </w:r>
      <w:r>
        <w:rPr>
          <w:rFonts w:hint="eastAsia" w:ascii="宋体" w:hAnsi="宋体"/>
          <w:bCs/>
          <w:iCs/>
          <w:color w:val="000000"/>
          <w:sz w:val="24"/>
          <w:szCs w:val="21"/>
          <w:highlight w:val="none"/>
        </w:rPr>
      </w:r>
      <w:r/>
    </w:p>
    <w:p>
      <w:pPr>
        <w:pStyle w:val="821"/>
        <w:ind w:firstLine="492"/>
        <w:spacing w:line="360" w:lineRule="auto"/>
        <w:rPr>
          <w:rFonts w:hint="eastAsia" w:ascii="宋体" w:hAnsi="宋体" w:cs="宋体"/>
          <w:color w:val="000000"/>
          <w:sz w:val="24"/>
          <w:highlight w:val="none"/>
        </w:rPr>
      </w:pPr>
      <w:r>
        <w:rPr>
          <w:rFonts w:hint="eastAsia" w:ascii="宋体" w:hAnsi="宋体"/>
          <w:bCs/>
          <w:iCs/>
          <w:color w:val="000000"/>
          <w:sz w:val="24"/>
          <w:szCs w:val="21"/>
          <w:highlight w:val="none"/>
        </w:rPr>
        <w:t xml:space="preserve">主要专业技术能力有：</w:t>
      </w:r>
      <w:r>
        <w:rPr>
          <w:rFonts w:hint="eastAsia" w:ascii="宋体" w:hAnsi="宋体"/>
          <w:bCs/>
          <w:iCs/>
          <w:color w:val="000000"/>
          <w:sz w:val="24"/>
          <w:szCs w:val="21"/>
          <w:highlight w:val="none"/>
          <w:u w:val="single"/>
        </w:rPr>
        <w:t xml:space="preserve">               </w:t>
      </w:r>
      <w:r>
        <w:rPr>
          <w:rFonts w:hint="eastAsia" w:ascii="宋体" w:hAnsi="宋体"/>
          <w:bCs/>
          <w:iCs/>
          <w:color w:val="000000"/>
          <w:sz w:val="24"/>
          <w:szCs w:val="21"/>
          <w:highlight w:val="none"/>
        </w:rPr>
        <w:t xml:space="preserve">。</w:t>
      </w:r>
      <w:r>
        <w:rPr>
          <w:rFonts w:hint="eastAsia"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21"/>
        <w:spacing w:line="360" w:lineRule="auto"/>
        <w:rPr>
          <w:rFonts w:hint="eastAsia" w:ascii="宋体" w:hAnsi="宋体"/>
          <w:bCs/>
          <w:iCs/>
          <w:color w:val="000000"/>
          <w:sz w:val="24"/>
          <w:szCs w:val="21"/>
          <w:highlight w:val="none"/>
        </w:rPr>
      </w:pPr>
      <w:r>
        <w:rPr>
          <w:rFonts w:hint="eastAsia" w:ascii="宋体" w:hAnsi="宋体"/>
          <w:bCs/>
          <w:iCs/>
          <w:color w:val="000000"/>
          <w:sz w:val="24"/>
          <w:szCs w:val="21"/>
          <w:highlight w:val="none"/>
        </w:rPr>
        <w:t xml:space="preserve">    </w:t>
      </w:r>
      <w:r>
        <w:rPr>
          <w:rFonts w:hint="eastAsia" w:ascii="宋体" w:hAnsi="宋体"/>
          <w:bCs/>
          <w:iCs/>
          <w:color w:val="000000"/>
          <w:sz w:val="24"/>
          <w:szCs w:val="21"/>
          <w:highlight w:val="none"/>
        </w:rPr>
      </w:r>
      <w:r/>
    </w:p>
    <w:p>
      <w:pPr>
        <w:pStyle w:val="821"/>
        <w:ind w:firstLine="480"/>
        <w:spacing w:line="360" w:lineRule="auto"/>
        <w:rPr>
          <w:rFonts w:hint="eastAsia" w:ascii="宋体" w:hAnsi="宋体"/>
          <w:bCs/>
          <w:iCs/>
          <w:color w:val="000000"/>
          <w:sz w:val="24"/>
          <w:szCs w:val="21"/>
          <w:highlight w:val="none"/>
        </w:rPr>
      </w:pPr>
      <w:r>
        <w:rPr>
          <w:rFonts w:hint="eastAsia" w:ascii="宋体" w:hAnsi="宋体"/>
          <w:bCs/>
          <w:iCs/>
          <w:color w:val="000000"/>
          <w:sz w:val="24"/>
          <w:szCs w:val="21"/>
          <w:highlight w:val="none"/>
        </w:rPr>
        <w:t xml:space="preserve">附主要设备和主要专业技术能力的证明材料如下：</w:t>
      </w:r>
      <w:r>
        <w:rPr>
          <w:rFonts w:hint="eastAsia" w:ascii="宋体" w:hAnsi="宋体"/>
          <w:bCs/>
          <w:iCs/>
          <w:color w:val="000000"/>
          <w:sz w:val="24"/>
          <w:szCs w:val="21"/>
          <w:highlight w:val="none"/>
        </w:rPr>
      </w:r>
      <w:r/>
    </w:p>
    <w:p>
      <w:pPr>
        <w:pStyle w:val="821"/>
        <w:spacing w:line="360" w:lineRule="auto"/>
        <w:rPr>
          <w:rFonts w:hint="eastAsia" w:ascii="宋体" w:hAnsi="宋体"/>
          <w:bCs/>
          <w:iCs/>
          <w:color w:val="000000"/>
          <w:sz w:val="24"/>
          <w:szCs w:val="21"/>
          <w:highlight w:val="none"/>
        </w:rPr>
      </w:pPr>
      <w:r>
        <w:rPr>
          <w:rFonts w:hint="eastAsia" w:ascii="宋体" w:hAnsi="宋体"/>
          <w:bCs/>
          <w:iCs/>
          <w:color w:val="000000"/>
          <w:sz w:val="24"/>
          <w:szCs w:val="21"/>
          <w:highlight w:val="none"/>
        </w:rPr>
      </w:r>
      <w:r/>
    </w:p>
    <w:p>
      <w:pPr>
        <w:pStyle w:val="821"/>
        <w:ind w:firstLine="602"/>
        <w:spacing w:line="360" w:lineRule="auto"/>
        <w:rPr>
          <w:rFonts w:hint="eastAsia" w:ascii="宋体" w:hAnsi="宋体"/>
          <w:b/>
          <w:iCs/>
          <w:color w:val="000000"/>
          <w:sz w:val="30"/>
          <w:szCs w:val="30"/>
          <w:highlight w:val="none"/>
        </w:rPr>
      </w:pPr>
      <w:r>
        <w:rPr>
          <w:rFonts w:hint="eastAsia" w:ascii="宋体" w:hAnsi="宋体"/>
          <w:b/>
          <w:iCs/>
          <w:color w:val="000000"/>
          <w:sz w:val="30"/>
          <w:szCs w:val="30"/>
          <w:highlight w:val="none"/>
        </w:rPr>
        <w:t xml:space="preserve">特别提醒：请认真填写此声明，</w:t>
      </w:r>
      <w:r>
        <w:rPr>
          <w:rFonts w:hint="eastAsia" w:ascii="宋体" w:hAnsi="宋体"/>
          <w:b/>
          <w:iCs/>
          <w:color w:val="000000"/>
          <w:sz w:val="30"/>
          <w:szCs w:val="30"/>
          <w:highlight w:val="none"/>
          <w:lang w:val="en-US" w:eastAsia="zh-CN"/>
        </w:rPr>
        <w:t xml:space="preserve">投标人应根据声明中填写的主要设备名称和专业技术能力</w:t>
      </w:r>
      <w:r>
        <w:rPr>
          <w:rFonts w:hint="eastAsia" w:ascii="宋体" w:hAnsi="宋体"/>
          <w:b/>
          <w:iCs/>
          <w:color w:val="000000"/>
          <w:sz w:val="30"/>
          <w:szCs w:val="30"/>
          <w:highlight w:val="none"/>
        </w:rPr>
        <w:t xml:space="preserve">提供对应的证明材料，如设备采购发票、合同、运输工具、企业生产能力、专业技术能力、人员专业证书等的证明材料。否则自行承担无效响应的风险。</w:t>
      </w:r>
      <w:r>
        <w:rPr>
          <w:rFonts w:hint="eastAsia" w:ascii="宋体" w:hAnsi="宋体"/>
          <w:b/>
          <w:iCs/>
          <w:color w:val="000000"/>
          <w:sz w:val="30"/>
          <w:szCs w:val="30"/>
          <w:highlight w:val="none"/>
        </w:rPr>
      </w:r>
      <w:r/>
    </w:p>
    <w:p>
      <w:pPr>
        <w:pStyle w:val="821"/>
        <w:spacing w:line="360" w:lineRule="auto"/>
        <w:rPr>
          <w:rFonts w:hint="eastAsia" w:ascii="Times New Roman" w:hAnsi="Times New Roman"/>
          <w:iCs/>
          <w:color w:val="000000"/>
          <w:szCs w:val="21"/>
          <w:highlight w:val="none"/>
        </w:rPr>
      </w:pPr>
      <w:r>
        <w:rPr>
          <w:rFonts w:hint="eastAsia" w:ascii="Times New Roman" w:hAnsi="Times New Roman"/>
          <w:iCs/>
          <w:color w:val="000000"/>
          <w:szCs w:val="21"/>
          <w:highlight w:val="none"/>
        </w:rPr>
      </w:r>
      <w:r/>
    </w:p>
    <w:p>
      <w:pPr>
        <w:pStyle w:val="821"/>
        <w:spacing w:line="360" w:lineRule="auto"/>
        <w:rPr>
          <w:rFonts w:hint="eastAsia" w:ascii="黑体" w:hAnsi="黑体" w:eastAsia="黑体"/>
          <w:iCs/>
          <w:color w:val="000000"/>
          <w:sz w:val="32"/>
          <w:szCs w:val="32"/>
          <w:highlight w:val="none"/>
          <w:u w:val="single"/>
        </w:rPr>
      </w:pPr>
      <w:r/>
      <w:bookmarkStart w:id="538" w:name="_Toc29063"/>
      <w:r/>
      <w:bookmarkStart w:id="539" w:name="_Toc2490"/>
      <w:r/>
      <w:bookmarkStart w:id="540" w:name="_Toc26845"/>
      <w:r>
        <w:rPr>
          <w:rFonts w:hint="eastAsia" w:ascii="黑体" w:hAnsi="黑体" w:eastAsia="黑体"/>
          <w:iCs/>
          <w:color w:val="000000"/>
          <w:sz w:val="32"/>
          <w:szCs w:val="32"/>
          <w:highlight w:val="none"/>
          <w:u w:val="single"/>
        </w:rPr>
        <w:t xml:space="preserve">五、参加政府采购活动前 3 年内在经营活动中没有重大违法记录的书面声明</w:t>
      </w:r>
      <w:bookmarkEnd w:id="538"/>
      <w:r/>
      <w:bookmarkEnd w:id="539"/>
      <w:r/>
      <w:bookmarkEnd w:id="540"/>
      <w:r>
        <w:rPr>
          <w:rFonts w:hint="eastAsia" w:ascii="黑体" w:hAnsi="黑体" w:eastAsia="黑体"/>
          <w:iCs/>
          <w:color w:val="000000"/>
          <w:sz w:val="32"/>
          <w:szCs w:val="32"/>
          <w:highlight w:val="none"/>
          <w:u w:val="single"/>
        </w:rPr>
      </w:r>
      <w:r/>
    </w:p>
    <w:p>
      <w:pPr>
        <w:pStyle w:val="821"/>
        <w:spacing w:line="360" w:lineRule="auto"/>
        <w:rPr>
          <w:rFonts w:hint="eastAsia" w:ascii="宋体" w:hAnsi="宋体"/>
          <w:b/>
          <w:bCs/>
          <w:iCs/>
          <w:color w:val="000000"/>
          <w:sz w:val="44"/>
          <w:szCs w:val="44"/>
          <w:highlight w:val="none"/>
        </w:rPr>
      </w:pPr>
      <w:r>
        <w:rPr>
          <w:rFonts w:hint="eastAsia" w:ascii="宋体" w:hAnsi="宋体"/>
          <w:b/>
          <w:bCs/>
          <w:iCs/>
          <w:color w:val="000000"/>
          <w:sz w:val="44"/>
          <w:szCs w:val="44"/>
          <w:highlight w:val="none"/>
        </w:rPr>
        <w:t xml:space="preserve">                 声  明</w:t>
      </w:r>
      <w:r>
        <w:rPr>
          <w:rFonts w:hint="eastAsia" w:ascii="宋体" w:hAnsi="宋体"/>
          <w:b/>
          <w:bCs/>
          <w:iCs/>
          <w:color w:val="000000"/>
          <w:sz w:val="44"/>
          <w:szCs w:val="44"/>
          <w:highlight w:val="none"/>
        </w:rPr>
      </w:r>
      <w:r/>
    </w:p>
    <w:p>
      <w:pPr>
        <w:pStyle w:val="821"/>
        <w:spacing w:line="360" w:lineRule="auto"/>
        <w:rPr>
          <w:rFonts w:hint="eastAsia" w:ascii="宋体" w:hAnsi="宋体"/>
          <w:bCs/>
          <w:iCs/>
          <w:color w:val="000000"/>
          <w:sz w:val="24"/>
          <w:szCs w:val="21"/>
          <w:highlight w:val="none"/>
        </w:rPr>
      </w:pPr>
      <w:r>
        <w:rPr>
          <w:rFonts w:hint="eastAsia" w:ascii="宋体" w:hAnsi="宋体"/>
          <w:b/>
          <w:bCs/>
          <w:iCs/>
          <w:color w:val="000000"/>
          <w:sz w:val="24"/>
          <w:szCs w:val="21"/>
          <w:highlight w:val="none"/>
        </w:rPr>
        <w:t xml:space="preserve">    </w:t>
      </w:r>
      <w:r>
        <w:rPr>
          <w:rFonts w:hint="eastAsia" w:ascii="宋体" w:hAnsi="宋体"/>
          <w:bCs/>
          <w:i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iCs/>
          <w:color w:val="000000"/>
          <w:sz w:val="24"/>
          <w:szCs w:val="21"/>
          <w:highlight w:val="none"/>
        </w:rPr>
      </w:r>
      <w:r/>
    </w:p>
    <w:p>
      <w:pPr>
        <w:pStyle w:val="8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82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21"/>
        <w:spacing w:line="360" w:lineRule="auto"/>
        <w:rPr>
          <w:rFonts w:hint="eastAsia" w:ascii="黑体" w:hAnsi="黑体" w:eastAsia="黑体"/>
          <w:iCs/>
          <w:color w:val="000000"/>
          <w:sz w:val="32"/>
          <w:szCs w:val="32"/>
          <w:highlight w:val="none"/>
          <w:u w:val="single"/>
        </w:rPr>
      </w:pPr>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rPr>
          <w:rFonts w:hint="eastAsia" w:ascii="黑体" w:hAnsi="黑体" w:eastAsia="黑体"/>
          <w:iCs/>
          <w:color w:val="000000"/>
          <w:sz w:val="32"/>
          <w:szCs w:val="32"/>
          <w:highlight w:val="none"/>
          <w:u w:val="single"/>
        </w:rPr>
      </w:r>
      <w:r/>
    </w:p>
    <w:p>
      <w:pPr>
        <w:pStyle w:val="821"/>
        <w:spacing w:line="360" w:lineRule="auto"/>
        <w:rPr>
          <w:rFonts w:hint="eastAsia" w:ascii="黑体" w:hAnsi="黑体" w:eastAsia="黑体"/>
          <w:iCs/>
          <w:color w:val="000000"/>
          <w:sz w:val="32"/>
          <w:szCs w:val="32"/>
          <w:highlight w:val="none"/>
          <w:u w:val="single"/>
        </w:rPr>
      </w:pPr>
      <w:r/>
      <w:bookmarkStart w:id="541" w:name="_Toc20071"/>
      <w:r/>
      <w:bookmarkStart w:id="542" w:name="_Toc15663"/>
      <w:r/>
      <w:bookmarkStart w:id="543" w:name="_Toc12832"/>
      <w:r>
        <w:rPr>
          <w:rFonts w:hint="eastAsia" w:ascii="黑体" w:hAnsi="黑体" w:eastAsia="黑体"/>
          <w:iCs/>
          <w:color w:val="000000"/>
          <w:sz w:val="32"/>
          <w:szCs w:val="32"/>
          <w:highlight w:val="none"/>
          <w:u w:val="single"/>
        </w:rPr>
        <w:t xml:space="preserve">六、特定资格要求的证明文件</w:t>
      </w:r>
      <w:bookmarkEnd w:id="541"/>
      <w:r/>
      <w:bookmarkEnd w:id="542"/>
      <w:r/>
      <w:bookmarkEnd w:id="543"/>
      <w:r>
        <w:rPr>
          <w:rFonts w:hint="eastAsia" w:ascii="黑体" w:hAnsi="黑体" w:eastAsia="黑体"/>
          <w:iCs/>
          <w:color w:val="000000"/>
          <w:sz w:val="32"/>
          <w:szCs w:val="32"/>
          <w:highlight w:val="none"/>
          <w:u w:val="singl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t xml:space="preserve">   如果本项目申请人的特定资格要求中要求提供的，必须提供。</w:t>
      </w:r>
      <w:r>
        <w:rPr>
          <w:rFonts w:hint="eastAsia" w:ascii="宋体" w:hAnsi="宋体"/>
          <w:iCs/>
          <w:color w:val="000000"/>
          <w:sz w:val="24"/>
          <w:szCs w:val="21"/>
          <w:highlight w:val="none"/>
        </w:rPr>
      </w:r>
      <w:r/>
    </w:p>
    <w:p>
      <w:pPr>
        <w:pStyle w:val="821"/>
        <w:spacing w:line="360" w:lineRule="auto"/>
        <w:rPr>
          <w:rFonts w:hint="eastAsia" w:ascii="宋体" w:hAnsi="宋体"/>
          <w:iCs/>
          <w:color w:val="000000"/>
          <w:sz w:val="24"/>
          <w:szCs w:val="21"/>
          <w:highlight w:val="none"/>
        </w:rPr>
      </w:pPr>
      <w:r>
        <w:rPr>
          <w:rFonts w:hint="eastAsia" w:ascii="宋体" w:hAnsi="宋体"/>
          <w:iCs/>
          <w:color w:val="000000"/>
          <w:sz w:val="24"/>
          <w:szCs w:val="21"/>
          <w:highlight w:val="none"/>
        </w:rPr>
      </w:r>
      <w:r/>
    </w:p>
    <w:p>
      <w:pPr>
        <w:pStyle w:val="821"/>
        <w:spacing w:line="460" w:lineRule="exact"/>
        <w:rPr>
          <w:rFonts w:hint="eastAsia" w:ascii="宋体" w:hAnsi="宋体"/>
          <w:bCs/>
          <w:iCs/>
          <w:color w:val="000000"/>
          <w:sz w:val="24"/>
          <w:szCs w:val="21"/>
          <w:highlight w:val="none"/>
        </w:rPr>
      </w:pPr>
      <w:r/>
      <w:bookmarkEnd w:id="520"/>
      <w:r/>
      <w:bookmarkEnd w:id="521"/>
      <w:r/>
      <w:bookmarkEnd w:id="522"/>
      <w:r/>
      <w:bookmarkStart w:id="544" w:name="_Toc120614284"/>
      <w:r>
        <w:rPr>
          <w:rFonts w:hint="eastAsia" w:ascii="宋体" w:hAnsi="宋体"/>
          <w:bCs/>
          <w:iCs/>
          <w:color w:val="000000"/>
          <w:sz w:val="24"/>
          <w:szCs w:val="21"/>
          <w:highlight w:val="none"/>
        </w:rPr>
      </w:r>
      <w:r/>
    </w:p>
    <w:p>
      <w:pPr>
        <w:pStyle w:val="821"/>
        <w:spacing w:line="460" w:lineRule="exact"/>
        <w:rPr>
          <w:rFonts w:hint="eastAsia" w:ascii="宋体" w:hAnsi="宋体"/>
          <w:bCs/>
          <w:iCs/>
          <w:color w:val="000000"/>
          <w:sz w:val="24"/>
          <w:szCs w:val="21"/>
          <w:highlight w:val="none"/>
        </w:rPr>
      </w:pPr>
      <w:r>
        <w:rPr>
          <w:rFonts w:hint="eastAsia" w:ascii="宋体" w:hAnsi="宋体"/>
          <w:bCs/>
          <w:iCs/>
          <w:color w:val="000000"/>
          <w:sz w:val="24"/>
          <w:szCs w:val="21"/>
          <w:highlight w:val="none"/>
        </w:rPr>
      </w:r>
      <w:r/>
    </w:p>
    <w:p>
      <w:pPr>
        <w:pStyle w:val="821"/>
        <w:spacing w:line="460" w:lineRule="exact"/>
        <w:rPr>
          <w:rFonts w:hint="eastAsia" w:ascii="宋体" w:hAnsi="宋体"/>
          <w:bCs/>
          <w:iCs/>
          <w:color w:val="000000"/>
          <w:sz w:val="24"/>
          <w:szCs w:val="21"/>
          <w:highlight w:val="none"/>
        </w:rPr>
      </w:pPr>
      <w:r>
        <w:rPr>
          <w:rFonts w:hint="eastAsia" w:ascii="宋体" w:hAnsi="宋体"/>
          <w:bCs/>
          <w:iCs/>
          <w:color w:val="000000"/>
          <w:sz w:val="24"/>
          <w:szCs w:val="21"/>
          <w:highlight w:val="none"/>
        </w:rPr>
      </w:r>
      <w:r/>
    </w:p>
    <w:p>
      <w:pPr>
        <w:pStyle w:val="821"/>
        <w:jc w:val="center"/>
        <w:spacing w:line="360" w:lineRule="auto"/>
        <w:rPr>
          <w:rFonts w:hint="eastAsia" w:ascii="黑体" w:hAnsi="黑体" w:eastAsia="黑体"/>
          <w:iCs/>
          <w:color w:val="000000"/>
          <w:sz w:val="32"/>
          <w:szCs w:val="32"/>
          <w:highlight w:val="none"/>
          <w:u w:val="single"/>
        </w:rPr>
      </w:pPr>
      <w:r/>
      <w:bookmarkStart w:id="545" w:name="_Toc3418"/>
      <w:r/>
      <w:bookmarkStart w:id="546" w:name="_Toc15264"/>
      <w:r/>
      <w:bookmarkStart w:id="547" w:name="_Toc5432"/>
      <w:r>
        <w:rPr>
          <w:rFonts w:hint="eastAsia" w:ascii="黑体" w:hAnsi="黑体" w:eastAsia="黑体"/>
          <w:iCs/>
          <w:color w:val="000000"/>
          <w:sz w:val="32"/>
          <w:szCs w:val="32"/>
          <w:highlight w:val="none"/>
          <w:u w:val="single"/>
        </w:rPr>
        <w:t xml:space="preserve">七、法人授权书</w:t>
      </w:r>
      <w:bookmarkEnd w:id="545"/>
      <w:r/>
      <w:bookmarkEnd w:id="546"/>
      <w:r/>
      <w:bookmarkEnd w:id="547"/>
      <w:r>
        <w:rPr>
          <w:rFonts w:hint="eastAsia" w:ascii="黑体" w:hAnsi="黑体" w:eastAsia="黑体"/>
          <w:iCs/>
          <w:color w:val="000000"/>
          <w:sz w:val="32"/>
          <w:szCs w:val="32"/>
          <w:highlight w:val="none"/>
          <w:u w:val="single"/>
        </w:rPr>
      </w:r>
      <w:r/>
    </w:p>
    <w:p>
      <w:pPr>
        <w:pStyle w:val="821"/>
        <w:ind w:firstLine="480"/>
        <w:spacing w:line="360" w:lineRule="auto"/>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21"/>
        <w:ind w:firstLine="480"/>
        <w:spacing w:line="360" w:lineRule="auto"/>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21"/>
        <w:spacing w:line="360" w:lineRule="auto"/>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21"/>
        <w:spacing w:line="360" w:lineRule="auto"/>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21"/>
        <w:ind w:firstLine="1200"/>
        <w:spacing w:line="360" w:lineRule="auto"/>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21"/>
        <w:ind w:firstLine="480"/>
        <w:spacing w:line="360" w:lineRule="auto"/>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21"/>
        <w:ind w:firstLine="480"/>
        <w:spacing w:line="360" w:lineRule="auto"/>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548" w:name="_Hlt26671380"/>
      <w:r/>
      <w:bookmarkEnd w:id="548"/>
      <w:r/>
      <w:bookmarkStart w:id="549" w:name="_格式3__银行出具的资信证明"/>
      <w:r/>
      <w:bookmarkEnd w:id="549"/>
      <w:r/>
      <w:bookmarkStart w:id="550" w:name="_Hlt26955070"/>
      <w:r/>
      <w:bookmarkEnd w:id="550"/>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2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2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2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填报说明：</w:t>
      </w:r>
      <w:r>
        <w:rPr>
          <w:rFonts w:hint="eastAsia" w:ascii="宋体" w:hAnsi="宋体" w:cs="宋体"/>
          <w:color w:val="000000"/>
          <w:sz w:val="24"/>
          <w:szCs w:val="24"/>
          <w:highlight w:val="none"/>
        </w:rPr>
      </w:r>
      <w:r/>
    </w:p>
    <w:p>
      <w:pPr>
        <w:pStyle w:val="821"/>
        <w:ind w:firstLine="480"/>
        <w:jc w:val="left"/>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1、若投标人为事业单位或其他组织或分支机构（仅当招标文件注明允许分支机构投标的），则法定代表人（单位负责人）处的签署人可为单位负责人。</w:t>
      </w:r>
      <w:r>
        <w:rPr>
          <w:rFonts w:hint="eastAsia" w:ascii="宋体" w:hAnsi="宋体" w:cs="宋体"/>
          <w:color w:val="000000"/>
          <w:sz w:val="24"/>
          <w:szCs w:val="24"/>
          <w:highlight w:val="none"/>
        </w:rPr>
      </w:r>
      <w:r/>
    </w:p>
    <w:p>
      <w:pPr>
        <w:pStyle w:val="821"/>
        <w:ind w:firstLine="480"/>
        <w:jc w:val="left"/>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cs="宋体"/>
          <w:color w:val="000000"/>
          <w:sz w:val="24"/>
          <w:szCs w:val="24"/>
          <w:highlight w:val="none"/>
        </w:rPr>
      </w:r>
      <w:r/>
    </w:p>
    <w:p>
      <w:pPr>
        <w:pStyle w:val="821"/>
        <w:ind w:firstLine="480"/>
        <w:jc w:val="left"/>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3、投标人为自然人的情形，可不提供本《授权委托书》。</w:t>
      </w:r>
      <w:r>
        <w:rPr>
          <w:rFonts w:hint="eastAsia" w:ascii="宋体" w:hAnsi="宋体" w:cs="宋体"/>
          <w:color w:val="000000"/>
          <w:sz w:val="24"/>
          <w:szCs w:val="24"/>
          <w:highlight w:val="none"/>
        </w:rPr>
      </w:r>
      <w:r/>
    </w:p>
    <w:p>
      <w:pPr>
        <w:pStyle w:val="821"/>
        <w:ind w:firstLine="480"/>
        <w:jc w:val="left"/>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
          <w:color w:val="000000"/>
          <w:sz w:val="24"/>
          <w:szCs w:val="24"/>
          <w:highlight w:val="none"/>
        </w:rPr>
        <w:t xml:space="preserve">请</w:t>
      </w:r>
      <w:r>
        <w:rPr>
          <w:rFonts w:hint="eastAsia" w:ascii="宋体" w:hAnsi="宋体" w:cs="宋体"/>
          <w:color w:val="000000"/>
          <w:sz w:val="24"/>
          <w:szCs w:val="24"/>
          <w:highlight w:val="none"/>
        </w:rPr>
        <w:t xml:space="preserve">投标人</w:t>
      </w:r>
      <w:r>
        <w:rPr>
          <w:rFonts w:hint="eastAsia" w:ascii="宋体" w:hAnsi="宋体" w:cs="宋体"/>
          <w:b/>
          <w:color w:val="000000"/>
          <w:sz w:val="24"/>
          <w:szCs w:val="24"/>
          <w:highlight w:val="none"/>
        </w:rPr>
        <w:t xml:space="preserve">如实填写联系方式并在评审过程中保持联系方式畅通，评审过程中如联系不上，由</w:t>
      </w:r>
      <w:r>
        <w:rPr>
          <w:rFonts w:hint="eastAsia" w:ascii="宋体" w:hAnsi="宋体" w:cs="宋体"/>
          <w:color w:val="000000"/>
          <w:sz w:val="24"/>
          <w:szCs w:val="24"/>
          <w:highlight w:val="none"/>
        </w:rPr>
        <w:t xml:space="preserve">投标人</w:t>
      </w:r>
      <w:r>
        <w:rPr>
          <w:rFonts w:hint="eastAsia" w:ascii="宋体" w:hAnsi="宋体" w:cs="宋体"/>
          <w:b/>
          <w:color w:val="000000"/>
          <w:sz w:val="24"/>
          <w:szCs w:val="24"/>
          <w:highlight w:val="none"/>
        </w:rPr>
        <w:t xml:space="preserve">承担一切不利后果。</w:t>
      </w:r>
      <w:r>
        <w:rPr>
          <w:rFonts w:hint="eastAsia" w:ascii="宋体" w:hAnsi="宋体" w:cs="宋体"/>
          <w:color w:val="000000"/>
          <w:sz w:val="24"/>
          <w:szCs w:val="24"/>
          <w:highlight w:val="none"/>
        </w:rPr>
      </w:r>
      <w:r/>
    </w:p>
    <w:p>
      <w:pPr>
        <w:pStyle w:val="821"/>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jc w:val="center"/>
        <w:keepLines/>
        <w:keepNext/>
        <w:spacing w:line="480" w:lineRule="auto"/>
        <w:rPr>
          <w:rFonts w:ascii="黑体" w:hAnsi="黑体" w:eastAsia="黑体"/>
          <w:b/>
          <w:iCs/>
          <w:color w:val="000000"/>
          <w:sz w:val="32"/>
          <w:szCs w:val="32"/>
          <w:highlight w:val="none"/>
          <w:u w:val="single"/>
        </w:rPr>
      </w:pPr>
      <w:r>
        <w:rPr>
          <w:rFonts w:ascii="宋体" w:hAnsi="宋体" w:eastAsia="幼圆" w:cs="Arial"/>
          <w:b/>
          <w:color w:val="000000"/>
          <w:sz w:val="24"/>
          <w:szCs w:val="44"/>
          <w:highlight w:val="none"/>
        </w:rPr>
        <w:br w:type="page" w:clear="all"/>
      </w:r>
      <w:bookmarkStart w:id="551" w:name="_Toc25622"/>
      <w:r/>
      <w:bookmarkStart w:id="552" w:name="_Toc27534"/>
      <w:r/>
      <w:bookmarkStart w:id="553" w:name="_Toc16937"/>
      <w:r>
        <w:rPr>
          <w:rFonts w:hint="eastAsia" w:ascii="黑体" w:hAnsi="黑体" w:eastAsia="黑体" w:cs="Arial"/>
          <w:b/>
          <w:iCs/>
          <w:color w:val="000000"/>
          <w:sz w:val="32"/>
          <w:szCs w:val="32"/>
          <w:highlight w:val="none"/>
          <w:u w:val="single"/>
        </w:rPr>
        <w:t xml:space="preserve">八、</w:t>
      </w:r>
      <w:r>
        <w:rPr>
          <w:rFonts w:hint="eastAsia" w:ascii="黑体" w:hAnsi="黑体" w:eastAsia="黑体"/>
          <w:b/>
          <w:iCs/>
          <w:color w:val="000000"/>
          <w:sz w:val="32"/>
          <w:szCs w:val="32"/>
          <w:highlight w:val="none"/>
          <w:u w:val="single"/>
        </w:rPr>
        <w:t xml:space="preserve">投标函</w:t>
      </w:r>
      <w:bookmarkEnd w:id="551"/>
      <w:r/>
      <w:bookmarkEnd w:id="552"/>
      <w:r/>
      <w:bookmarkEnd w:id="553"/>
      <w:r>
        <w:rPr>
          <w:rFonts w:ascii="黑体" w:hAnsi="黑体" w:eastAsia="黑体"/>
          <w:b/>
          <w:iCs/>
          <w:color w:val="000000"/>
          <w:sz w:val="32"/>
          <w:szCs w:val="32"/>
          <w:highlight w:val="none"/>
          <w:u w:val="single"/>
        </w:rPr>
      </w:r>
      <w:r/>
    </w:p>
    <w:p>
      <w:pPr>
        <w:pStyle w:val="821"/>
        <w:jc w:val="left"/>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21"/>
        <w:jc w:val="left"/>
        <w:spacing w:line="360" w:lineRule="auto"/>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21"/>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电  子  邮  箱：</w:t>
      </w:r>
      <w:r>
        <w:rPr>
          <w:rFonts w:ascii="宋体" w:hAnsi="宋体"/>
          <w:color w:val="000000"/>
          <w:sz w:val="24"/>
          <w:szCs w:val="21"/>
          <w:highlight w:val="none"/>
        </w:rPr>
      </w:r>
      <w:r/>
    </w:p>
    <w:p>
      <w:pPr>
        <w:pStyle w:val="821"/>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21"/>
        <w:ind w:firstLine="240"/>
        <w:jc w:val="cente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ind w:firstLine="321"/>
        <w:jc w:val="center"/>
        <w:spacing w:line="560" w:lineRule="exact"/>
        <w:rPr>
          <w:rFonts w:hint="eastAsia" w:ascii="黑体" w:hAnsi="黑体" w:eastAsia="黑体"/>
          <w:b/>
          <w:color w:val="000000"/>
          <w:sz w:val="32"/>
          <w:szCs w:val="32"/>
          <w:highlight w:val="none"/>
        </w:rPr>
      </w:pPr>
      <w:r/>
      <w:bookmarkStart w:id="554" w:name="_Toc1063"/>
      <w:r/>
      <w:bookmarkStart w:id="555" w:name="_Toc27774"/>
      <w:r/>
      <w:bookmarkStart w:id="556" w:name="_Toc12477"/>
      <w:r>
        <w:rPr>
          <w:rFonts w:hint="eastAsia" w:ascii="黑体" w:hAnsi="黑体" w:eastAsia="黑体"/>
          <w:b/>
          <w:color w:val="000000"/>
          <w:sz w:val="32"/>
          <w:szCs w:val="32"/>
          <w:highlight w:val="none"/>
        </w:rPr>
        <w:t xml:space="preserve">九、小微企业声明函（货物）（分包号：**）</w:t>
      </w:r>
      <w:bookmarkEnd w:id="554"/>
      <w:r/>
      <w:bookmarkEnd w:id="555"/>
      <w:r/>
      <w:bookmarkEnd w:id="556"/>
      <w:r>
        <w:rPr>
          <w:rFonts w:hint="eastAsia" w:ascii="黑体" w:hAnsi="黑体" w:eastAsia="黑体"/>
          <w:b/>
          <w:color w:val="000000"/>
          <w:sz w:val="32"/>
          <w:szCs w:val="32"/>
          <w:highlight w:val="none"/>
        </w:rPr>
      </w:r>
      <w:r/>
    </w:p>
    <w:p>
      <w:pPr>
        <w:pStyle w:val="82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本公司（联合体）郑重声明，根据《政府采购促进中小企业发展管理办法》(财库〔2020〕46号)的规定，本公司（联合体）参加江苏鸿成工程项目管理有限公司组织的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82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2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2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2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21"/>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21"/>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21"/>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pStyle w:val="82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2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821"/>
        <w:jc w:val="center"/>
        <w:spacing w:line="46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bookmarkStart w:id="557" w:name="_Toc9330"/>
      <w:r/>
      <w:bookmarkStart w:id="558" w:name="_Toc15569"/>
      <w:r/>
      <w:bookmarkStart w:id="559" w:name="_Toc5496"/>
      <w:r>
        <w:rPr>
          <w:rFonts w:hint="eastAsia" w:ascii="黑体" w:hAnsi="黑体" w:eastAsia="黑体"/>
          <w:b/>
          <w:color w:val="000000"/>
          <w:sz w:val="32"/>
          <w:szCs w:val="32"/>
          <w:highlight w:val="none"/>
        </w:rPr>
        <w:t xml:space="preserve">十、残疾人福利性单位声明函（分包号：**）</w:t>
      </w:r>
      <w:bookmarkEnd w:id="557"/>
      <w:r/>
      <w:bookmarkEnd w:id="558"/>
      <w:r/>
      <w:bookmarkEnd w:id="559"/>
      <w:r>
        <w:rPr>
          <w:rFonts w:hint="eastAsia" w:ascii="黑体" w:hAnsi="黑体" w:eastAsia="黑体"/>
          <w:b/>
          <w:color w:val="000000"/>
          <w:sz w:val="32"/>
          <w:szCs w:val="32"/>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21"/>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21"/>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highlight w:val="none"/>
        </w:rPr>
      </w:r>
      <w:r/>
    </w:p>
    <w:p>
      <w:pPr>
        <w:pStyle w:val="821"/>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pStyle w:val="821"/>
        <w:ind w:right="1560" w:firstLine="624"/>
        <w:jc w:val="center"/>
        <w:spacing w:line="588"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821"/>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关于符合本国产品标准的声明函（分包号：**）</w:t>
      </w:r>
      <w:r>
        <w:rPr>
          <w:rFonts w:hint="eastAsia" w:ascii="黑体" w:hAnsi="黑体" w:eastAsia="黑体"/>
          <w:b/>
          <w:color w:val="000000"/>
          <w:sz w:val="32"/>
          <w:szCs w:val="32"/>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1116965</wp:posOffset>
                </wp:positionH>
                <wp:positionV relativeFrom="paragraph">
                  <wp:posOffset>962660</wp:posOffset>
                </wp:positionV>
                <wp:extent cx="86614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6614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88.0pt;mso-position-horizontal:absolute;mso-position-vertical-relative:text;margin-top:75.8pt;mso-position-vertical:absolute;width:68.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2353310</wp:posOffset>
                </wp:positionH>
                <wp:positionV relativeFrom="paragraph">
                  <wp:posOffset>945515</wp:posOffset>
                </wp:positionV>
                <wp:extent cx="65786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5786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5.3pt;mso-position-horizontal:absolute;mso-position-vertical-relative:text;margin-top:74.5pt;mso-position-vertical:absolute;width:51.8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4775200</wp:posOffset>
                </wp:positionH>
                <wp:positionV relativeFrom="paragraph">
                  <wp:posOffset>224790</wp:posOffset>
                </wp:positionV>
                <wp:extent cx="714375"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437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76.0pt;mso-position-horizontal:absolute;mso-position-vertical-relative:text;margin-top:17.7pt;mso-position-vertical:absolute;width:56.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4769485</wp:posOffset>
                </wp:positionH>
                <wp:positionV relativeFrom="paragraph">
                  <wp:posOffset>569595</wp:posOffset>
                </wp:positionV>
                <wp:extent cx="61468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146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375.5pt;mso-position-horizontal:absolute;mso-position-vertical-relative:text;margin-top:44.8pt;mso-position-vertical:absolute;width:48.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3483610</wp:posOffset>
                </wp:positionH>
                <wp:positionV relativeFrom="paragraph">
                  <wp:posOffset>608965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74.3pt;mso-position-horizontal:absolute;mso-position-vertical-relative:text;margin-top:47.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2404745</wp:posOffset>
                </wp:positionH>
                <wp:positionV relativeFrom="paragraph">
                  <wp:posOffset>585470</wp:posOffset>
                </wp:positionV>
                <wp:extent cx="744855" cy="882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44855" cy="882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9.3pt;mso-position-horizontal:absolute;mso-position-vertical-relative:text;margin-top:46.1pt;mso-position-vertical:absolute;width:58.6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（产品名称1）</w:t>
      </w:r>
      <w:r>
        <w:rPr>
          <w:rFonts w:hint="eastAsia" w:ascii="宋体" w:hAnsi="宋体"/>
          <w:color w:val="000000"/>
          <w:sz w:val="24"/>
          <w:szCs w:val="21"/>
          <w:highlight w:val="none"/>
        </w:rPr>
        <w:t xml:space="preserve">，生产厂为</w:t>
      </w:r>
      <w:r>
        <w:rPr>
          <w:rFonts w:hint="eastAsia" w:ascii="宋体" w:hAnsi="宋体"/>
          <w:color w:val="000000"/>
          <w:sz w:val="24"/>
          <w:szCs w:val="21"/>
          <w:highlight w:val="none"/>
          <w:u w:val="single"/>
        </w:rPr>
        <w:t xml:space="preserve">（厂名）</w:t>
      </w:r>
      <w:r>
        <w:rPr>
          <w:rFonts w:hint="eastAsia" w:ascii="宋体" w:hAnsi="宋体"/>
          <w:color w:val="000000"/>
          <w:sz w:val="24"/>
          <w:szCs w:val="21"/>
          <w:highlight w:val="none"/>
        </w:rPr>
        <w:t xml:space="preserve">，厂址为</w:t>
      </w:r>
      <w:r>
        <w:rPr>
          <w:rFonts w:hint="eastAsia" w:ascii="宋体" w:hAnsi="宋体"/>
          <w:color w:val="000000"/>
          <w:sz w:val="24"/>
          <w:szCs w:val="21"/>
          <w:highlight w:val="none"/>
          <w:u w:val="single"/>
        </w:rPr>
        <w:t xml:space="preserve">（生产厂址）</w:t>
      </w:r>
      <w:r>
        <w:rPr>
          <w:rFonts w:hint="eastAsia" w:ascii="宋体" w:hAnsi="宋体"/>
          <w:color w:val="000000"/>
          <w:sz w:val="24"/>
          <w:szCs w:val="21"/>
          <w:highlight w:val="none"/>
        </w:rPr>
        <w:t xml:space="preserve">。（产品名称1） 的中国境内生产的组件成本占比≥</w:t>
      </w:r>
      <w:r>
        <w:rPr>
          <w:rFonts w:hint="eastAsia" w:ascii="宋体" w:hAnsi="宋体"/>
          <w:color w:val="000000"/>
          <w:sz w:val="24"/>
          <w:szCs w:val="21"/>
          <w:highlight w:val="none"/>
          <w:u w:val="single"/>
        </w:rPr>
        <w:t xml:space="preserve">（规定比例）</w:t>
      </w:r>
      <w:r>
        <w:rPr>
          <w:rFonts w:hint="eastAsia"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（产品名称1）</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（关键组件）</w:t>
      </w:r>
      <w:r>
        <w:rPr>
          <w:rFonts w:hint="eastAsia" w:ascii="宋体" w:hAnsi="宋体"/>
          <w:color w:val="000000"/>
          <w:sz w:val="24"/>
          <w:szCs w:val="21"/>
          <w:highlight w:val="none"/>
        </w:rPr>
        <w:t xml:space="preserve">在中国境内生产。</w:t>
      </w:r>
      <w:r>
        <w:rPr>
          <w:rFonts w:hint="eastAsia" w:ascii="宋体" w:hAnsi="宋体"/>
          <w:color w:val="000000"/>
          <w:sz w:val="24"/>
          <w:szCs w:val="21"/>
          <w:highlight w:val="none"/>
          <w:u w:val="single"/>
        </w:rPr>
        <w:t xml:space="preserve">（产品名称1）</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（关键工序）</w:t>
      </w:r>
      <w:r>
        <w:rPr>
          <w:rFonts w:hint="eastAsia" w:ascii="宋体" w:hAnsi="宋体"/>
          <w:color w:val="000000"/>
          <w:sz w:val="24"/>
          <w:szCs w:val="21"/>
          <w:highlight w:val="none"/>
        </w:rPr>
        <w:t xml:space="preserve">在中国境内完成。</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2362200</wp:posOffset>
                </wp:positionH>
                <wp:positionV relativeFrom="paragraph">
                  <wp:posOffset>944880</wp:posOffset>
                </wp:positionV>
                <wp:extent cx="59309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9309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86.0pt;mso-position-horizontal:absolute;mso-position-vertical-relative:text;margin-top:74.4pt;mso-position-vertical:absolute;width:46.7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1224915</wp:posOffset>
                </wp:positionH>
                <wp:positionV relativeFrom="paragraph">
                  <wp:posOffset>980440</wp:posOffset>
                </wp:positionV>
                <wp:extent cx="65278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27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96.4pt;mso-position-horizontal:absolute;mso-position-vertical-relative:text;margin-top:77.2pt;mso-position-vertical:absolute;width:51.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4726305</wp:posOffset>
                </wp:positionH>
                <wp:positionV relativeFrom="paragraph">
                  <wp:posOffset>553720</wp:posOffset>
                </wp:positionV>
                <wp:extent cx="626745" cy="863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26745" cy="863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72.1pt;mso-position-horizontal:absolute;mso-position-vertical-relative:text;margin-top:43.6pt;mso-position-vertical:absolute;width:49.3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3545205</wp:posOffset>
                </wp:positionH>
                <wp:positionV relativeFrom="paragraph">
                  <wp:posOffset>584835</wp:posOffset>
                </wp:positionV>
                <wp:extent cx="775335" cy="781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75334" cy="781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79.1pt;mso-position-horizontal:absolute;mso-position-vertical-relative:text;margin-top:46.0pt;mso-position-vertical:absolute;width:61.0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2431415</wp:posOffset>
                </wp:positionH>
                <wp:positionV relativeFrom="paragraph">
                  <wp:posOffset>588010</wp:posOffset>
                </wp:positionV>
                <wp:extent cx="634365" cy="990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436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91.4pt;mso-position-horizontal:absolute;mso-position-vertical-relative:text;margin-top:46.3pt;mso-position-vertical:absolute;width:49.9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4730115</wp:posOffset>
                </wp:positionH>
                <wp:positionV relativeFrom="paragraph">
                  <wp:posOffset>186690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72.4pt;mso-position-horizontal:absolute;mso-position-vertical-relative:text;margin-top:1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（产品名称2）</w:t>
      </w:r>
      <w:r>
        <w:rPr>
          <w:rFonts w:hint="eastAsia" w:ascii="宋体" w:hAnsi="宋体"/>
          <w:color w:val="000000"/>
          <w:sz w:val="24"/>
          <w:szCs w:val="21"/>
          <w:highlight w:val="none"/>
        </w:rPr>
        <w:t xml:space="preserve">，生产厂为</w:t>
      </w:r>
      <w:r>
        <w:rPr>
          <w:rFonts w:hint="eastAsia" w:ascii="宋体" w:hAnsi="宋体"/>
          <w:color w:val="000000"/>
          <w:sz w:val="24"/>
          <w:szCs w:val="21"/>
          <w:highlight w:val="none"/>
          <w:u w:val="single"/>
        </w:rPr>
        <w:t xml:space="preserve">（厂名）</w:t>
      </w:r>
      <w:r>
        <w:rPr>
          <w:rFonts w:hint="eastAsia" w:ascii="宋体" w:hAnsi="宋体"/>
          <w:color w:val="000000"/>
          <w:sz w:val="24"/>
          <w:szCs w:val="21"/>
          <w:highlight w:val="none"/>
        </w:rPr>
        <w:t xml:space="preserve">，厂址为</w:t>
      </w:r>
      <w:r>
        <w:rPr>
          <w:rFonts w:hint="eastAsia" w:ascii="宋体" w:hAnsi="宋体"/>
          <w:color w:val="000000"/>
          <w:sz w:val="24"/>
          <w:szCs w:val="21"/>
          <w:highlight w:val="none"/>
          <w:u w:val="single"/>
        </w:rPr>
        <w:t xml:space="preserve">（生产厂址）</w:t>
      </w:r>
      <w:r>
        <w:rPr>
          <w:rFonts w:hint="eastAsia"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（产品名称2）</w:t>
      </w:r>
      <w:r>
        <w:rPr>
          <w:rFonts w:hint="eastAsia" w:ascii="宋体" w:hAnsi="宋体"/>
          <w:color w:val="000000"/>
          <w:sz w:val="24"/>
          <w:szCs w:val="21"/>
          <w:highlight w:val="none"/>
        </w:rPr>
        <w:t xml:space="preserve">的中国境内生产的组件成本占比≥</w:t>
      </w:r>
      <w:r>
        <w:rPr>
          <w:rFonts w:hint="eastAsia" w:ascii="宋体" w:hAnsi="宋体"/>
          <w:color w:val="000000"/>
          <w:sz w:val="24"/>
          <w:szCs w:val="21"/>
          <w:highlight w:val="none"/>
          <w:u w:val="single"/>
        </w:rPr>
        <w:t xml:space="preserve">（规定比例）</w:t>
      </w:r>
      <w:r>
        <w:rPr>
          <w:rFonts w:hint="eastAsia"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（产品名称2）</w:t>
      </w:r>
      <w:r>
        <w:rPr>
          <w:rFonts w:hint="eastAsia" w:ascii="宋体" w:hAnsi="宋体"/>
          <w:color w:val="000000"/>
          <w:sz w:val="24"/>
          <w:szCs w:val="21"/>
          <w:highlight w:val="none"/>
        </w:rPr>
        <w:t xml:space="preserve">的（关键组件）在中国境内生产。（产品名称1）的（关键工序）在中国境内完成。</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本公司（单位）对上述声明内容的真实性负责。如有虚假，愿承担相应法律责任。</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公司（单位）名称（盖章）：　        </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                                日期：　   年　  月　  日         </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1.产品如有型号，请在“产品名称”栏一并填写。</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2.生产厂名与厂址应与生产厂营业执照载明的相关信息保持一致。</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3.该产品的中国境内生产的组件成本占比相关要求实施前，“规定比例”栏可不填，下同。</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4.该产品的关键组件要求实施前，“关键组件”栏可不填，下同。</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5.该产品的关键工序要求实施前，“关键工序”栏可不填，下同。</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6.用斜线划除的地方无需填写。</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7.请供应商如实填写，如填写有误，将承担一切不利后果。</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8.供应商提供虚假《声明函》、虚假证明文件谋取中标的，依照《中华人民共和国政府采购法》等法律法规规定追究相应责任。</w:t>
      </w:r>
      <w:r>
        <w:rPr>
          <w:rFonts w:hint="eastAsia" w:ascii="宋体" w:hAnsi="宋体"/>
          <w:color w:val="000000"/>
          <w:sz w:val="24"/>
          <w:szCs w:val="21"/>
          <w:highlight w:val="none"/>
        </w:rPr>
      </w:r>
      <w:r/>
    </w:p>
    <w:p>
      <w:pPr>
        <w:pStyle w:val="821"/>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9.中标人的《声明函》或有关证明文件随中标结果公开，接受社会监督。</w:t>
      </w:r>
      <w:r>
        <w:rPr>
          <w:rFonts w:hint="eastAsia" w:ascii="宋体" w:hAnsi="宋体"/>
          <w:color w:val="000000"/>
          <w:sz w:val="24"/>
          <w:szCs w:val="21"/>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bookmarkStart w:id="560" w:name="_Toc22676"/>
      <w:r/>
      <w:bookmarkStart w:id="561" w:name="_Toc23517"/>
      <w:r/>
      <w:bookmarkStart w:id="562" w:name="_Toc27656"/>
      <w:r>
        <w:rPr>
          <w:rFonts w:hint="eastAsia" w:ascii="黑体" w:hAnsi="黑体" w:eastAsia="黑体"/>
          <w:b/>
          <w:color w:val="000000"/>
          <w:sz w:val="32"/>
          <w:szCs w:val="32"/>
          <w:highlight w:val="none"/>
        </w:rPr>
      </w:r>
      <w:r/>
    </w:p>
    <w:p>
      <w:pPr>
        <w:pStyle w:val="8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十一、联合体协议（参考格式）（如有）（分包号：**）</w:t>
      </w:r>
      <w:bookmarkEnd w:id="560"/>
      <w:r/>
      <w:bookmarkEnd w:id="561"/>
      <w:r/>
      <w:bookmarkEnd w:id="562"/>
      <w:r>
        <w:rPr>
          <w:rFonts w:ascii="黑体" w:hAnsi="黑体" w:eastAsia="黑体"/>
          <w:b/>
          <w:color w:val="000000"/>
          <w:sz w:val="32"/>
          <w:szCs w:val="32"/>
          <w:highlight w:val="none"/>
        </w:rPr>
      </w:r>
      <w:r/>
    </w:p>
    <w:p>
      <w:pPr>
        <w:pStyle w:val="821"/>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2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自愿组成联合体，参加江苏鸿成工程项目管理有限公司组织的采购编号为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2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2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21"/>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21"/>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82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21"/>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2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21"/>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2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21"/>
        <w:jc w:val="center"/>
        <w:spacing w:line="360" w:lineRule="auto"/>
        <w:rPr>
          <w:rFonts w:hint="eastAsia" w:ascii="黑体" w:hAnsi="黑体" w:eastAsia="黑体"/>
          <w:b/>
          <w:color w:val="000000"/>
          <w:sz w:val="32"/>
          <w:szCs w:val="32"/>
          <w:highlight w:val="none"/>
        </w:rPr>
      </w:pPr>
      <w:r/>
      <w:bookmarkStart w:id="563" w:name="_Toc12020"/>
      <w:r/>
      <w:bookmarkStart w:id="564" w:name="_Toc24081"/>
      <w:r/>
      <w:bookmarkStart w:id="565" w:name="_Toc13988"/>
      <w:r>
        <w:rPr>
          <w:rFonts w:hint="eastAsia" w:ascii="黑体" w:hAnsi="黑体" w:eastAsia="黑体"/>
          <w:b/>
          <w:color w:val="000000"/>
          <w:sz w:val="32"/>
          <w:szCs w:val="32"/>
          <w:highlight w:val="none"/>
        </w:rPr>
        <w:t xml:space="preserve">十二、投标分项报价表（分包号：***）</w:t>
      </w:r>
      <w:bookmarkEnd w:id="563"/>
      <w:r/>
      <w:bookmarkEnd w:id="564"/>
      <w:r/>
      <w:bookmarkEnd w:id="565"/>
      <w:r>
        <w:rPr>
          <w:rFonts w:hint="eastAsia" w:ascii="黑体" w:hAnsi="黑体" w:eastAsia="黑体"/>
          <w:b/>
          <w:color w:val="000000"/>
          <w:sz w:val="32"/>
          <w:szCs w:val="32"/>
          <w:highlight w:val="none"/>
        </w:rPr>
      </w:r>
      <w:r/>
    </w:p>
    <w:p>
      <w:pPr>
        <w:pStyle w:val="821"/>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投标分项报价表</w:t>
      </w:r>
      <w:r>
        <w:rPr>
          <w:rFonts w:hint="eastAsia" w:ascii="黑体" w:hAnsi="黑体" w:eastAsia="黑体"/>
          <w:b/>
          <w:color w:val="000000"/>
          <w:sz w:val="32"/>
          <w:szCs w:val="32"/>
          <w:highlight w:val="none"/>
        </w:rPr>
      </w:r>
      <w:r/>
    </w:p>
    <w:p>
      <w:pPr>
        <w:pStyle w:val="821"/>
        <w:spacing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项目名称：                  项目编号：               分包号：</w:t>
      </w:r>
      <w:r>
        <w:rPr>
          <w:color w:val="000000"/>
          <w:sz w:val="24"/>
          <w:szCs w:val="24"/>
          <w:highlight w:val="none"/>
        </w:rPr>
      </w:r>
      <w:r/>
    </w:p>
    <w:p>
      <w:pPr>
        <w:pStyle w:val="821"/>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ascii="宋体" w:hAnsi="宋体" w:cs="宋体"/>
          <w:color w:val="000000"/>
          <w:highlight w:val="none"/>
        </w:rPr>
        <w:t xml:space="preserve">单位：元</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trPr>
          <w:trHeight w:val="663"/>
        </w:trPr>
        <w:tc>
          <w:tcPr>
            <w:tcMar>
              <w:left w:w="108" w:type="dxa"/>
              <w:top w:w="0" w:type="dxa"/>
              <w:right w:w="108" w:type="dxa"/>
              <w:bottom w:w="0" w:type="dxa"/>
            </w:tcMar>
            <w:tcW w:w="462" w:type="dxa"/>
            <w:vAlign w:val="center"/>
            <w:textDirection w:val="lrTb"/>
            <w:noWrap/>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Mar>
              <w:left w:w="108" w:type="dxa"/>
              <w:top w:w="0" w:type="dxa"/>
              <w:right w:w="108" w:type="dxa"/>
              <w:bottom w:w="0" w:type="dxa"/>
            </w:tcMar>
            <w:tcW w:w="1040"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货物（标的）名称</w:t>
            </w:r>
            <w:r>
              <w:rPr>
                <w:rFonts w:hint="eastAsia" w:ascii="宋体" w:hAnsi="宋体" w:cs="宋体"/>
                <w:color w:val="000000"/>
                <w:highlight w:val="none"/>
              </w:rPr>
            </w:r>
            <w:r/>
          </w:p>
        </w:tc>
        <w:tc>
          <w:tcPr>
            <w:tcMar>
              <w:left w:w="108" w:type="dxa"/>
              <w:top w:w="0" w:type="dxa"/>
              <w:right w:w="108" w:type="dxa"/>
              <w:bottom w:w="0" w:type="dxa"/>
            </w:tcMar>
            <w:tcW w:w="572"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品牌</w:t>
            </w:r>
            <w:r>
              <w:rPr>
                <w:rFonts w:hint="eastAsia" w:ascii="宋体" w:hAnsi="宋体" w:cs="宋体"/>
                <w:color w:val="000000"/>
                <w:highlight w:val="none"/>
              </w:rPr>
            </w:r>
            <w:r/>
          </w:p>
        </w:tc>
        <w:tc>
          <w:tcPr>
            <w:tcMar>
              <w:left w:w="108" w:type="dxa"/>
              <w:top w:w="0" w:type="dxa"/>
              <w:right w:w="108" w:type="dxa"/>
              <w:bottom w:w="0" w:type="dxa"/>
            </w:tcMar>
            <w:tcW w:w="1013"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是否符合本国产品标准</w:t>
            </w:r>
            <w:r>
              <w:rPr>
                <w:rFonts w:hint="eastAsia" w:ascii="宋体" w:hAnsi="宋体" w:cs="宋体"/>
                <w:color w:val="000000"/>
                <w:highlight w:val="none"/>
              </w:rPr>
            </w:r>
            <w:r/>
          </w:p>
        </w:tc>
        <w:tc>
          <w:tcPr>
            <w:tcMar>
              <w:left w:w="108" w:type="dxa"/>
              <w:top w:w="0" w:type="dxa"/>
              <w:right w:w="108" w:type="dxa"/>
              <w:bottom w:w="0" w:type="dxa"/>
            </w:tcMar>
            <w:tcW w:w="615"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规格型号</w:t>
            </w:r>
            <w:r>
              <w:rPr>
                <w:rFonts w:hint="eastAsia" w:ascii="宋体" w:hAnsi="宋体" w:cs="宋体"/>
                <w:color w:val="000000"/>
                <w:highlight w:val="none"/>
              </w:rPr>
            </w:r>
            <w:r/>
          </w:p>
        </w:tc>
        <w:tc>
          <w:tcPr>
            <w:tcMar>
              <w:left w:w="108" w:type="dxa"/>
              <w:top w:w="0" w:type="dxa"/>
              <w:right w:w="108" w:type="dxa"/>
              <w:bottom w:w="0" w:type="dxa"/>
            </w:tcMar>
            <w:tcW w:w="1028"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制造商</w:t>
            </w:r>
            <w:r>
              <w:rPr>
                <w:rFonts w:hint="eastAsia" w:ascii="宋体" w:hAnsi="宋体" w:cs="宋体"/>
                <w:color w:val="000000"/>
                <w:highlight w:val="none"/>
              </w:rPr>
            </w:r>
            <w:r/>
          </w:p>
        </w:tc>
        <w:tc>
          <w:tcPr>
            <w:tcMar>
              <w:left w:w="108" w:type="dxa"/>
              <w:top w:w="0" w:type="dxa"/>
              <w:right w:w="108" w:type="dxa"/>
              <w:bottom w:w="0" w:type="dxa"/>
            </w:tcMar>
            <w:tcW w:w="1320"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制造商企业类型</w:t>
            </w:r>
            <w:r>
              <w:rPr>
                <w:rFonts w:hint="eastAsia" w:ascii="宋体" w:hAnsi="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单价</w:t>
            </w:r>
            <w:r>
              <w:rPr>
                <w:rFonts w:hint="eastAsia" w:ascii="宋体" w:hAnsi="宋体" w:cs="宋体"/>
                <w:color w:val="000000"/>
                <w:highlight w:val="none"/>
              </w:rPr>
            </w:r>
            <w:r/>
          </w:p>
        </w:tc>
        <w:tc>
          <w:tcPr>
            <w:tcMar>
              <w:left w:w="108" w:type="dxa"/>
              <w:top w:w="0" w:type="dxa"/>
              <w:right w:w="108" w:type="dxa"/>
              <w:bottom w:w="0" w:type="dxa"/>
            </w:tcMar>
            <w:tcW w:w="763"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Mar>
              <w:left w:w="108" w:type="dxa"/>
              <w:top w:w="0" w:type="dxa"/>
              <w:right w:w="108" w:type="dxa"/>
              <w:bottom w:w="0" w:type="dxa"/>
            </w:tcMar>
            <w:tcW w:w="778"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计量单位</w:t>
            </w:r>
            <w:r>
              <w:rPr>
                <w:rFonts w:hint="eastAsia" w:ascii="宋体" w:hAnsi="宋体" w:cs="宋体"/>
                <w:color w:val="000000"/>
                <w:highlight w:val="none"/>
              </w:rPr>
            </w:r>
            <w:r/>
          </w:p>
        </w:tc>
        <w:tc>
          <w:tcPr>
            <w:tcMar>
              <w:left w:w="108" w:type="dxa"/>
              <w:top w:w="0" w:type="dxa"/>
              <w:right w:w="108" w:type="dxa"/>
              <w:bottom w:w="0" w:type="dxa"/>
            </w:tcMar>
            <w:tcW w:w="880"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单项合计价</w:t>
            </w:r>
            <w:r>
              <w:rPr>
                <w:rFonts w:hint="eastAsia" w:ascii="宋体" w:hAnsi="宋体" w:cs="宋体"/>
                <w:color w:val="000000"/>
                <w:highlight w:val="none"/>
              </w:rPr>
            </w:r>
            <w:r/>
          </w:p>
        </w:tc>
      </w:tr>
      <w:tr>
        <w:trPr>
          <w:trHeight w:val="581"/>
        </w:trPr>
        <w:tc>
          <w:tcPr>
            <w:tcMar>
              <w:left w:w="108" w:type="dxa"/>
              <w:top w:w="0" w:type="dxa"/>
              <w:right w:w="108" w:type="dxa"/>
              <w:bottom w:w="0" w:type="dxa"/>
            </w:tcMar>
            <w:tcW w:w="462" w:type="dxa"/>
            <w:vAlign w:val="center"/>
            <w:textDirection w:val="lrTb"/>
            <w:noWrap/>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hint="eastAsia" w:ascii="宋体" w:hAnsi="宋体" w:cs="宋体"/>
                <w:color w:val="000000"/>
                <w:highlight w:val="none"/>
              </w:rPr>
            </w:r>
            <w:r/>
          </w:p>
        </w:tc>
        <w:tc>
          <w:tcPr>
            <w:tcMar>
              <w:left w:w="108" w:type="dxa"/>
              <w:top w:w="0" w:type="dxa"/>
              <w:right w:w="108" w:type="dxa"/>
              <w:bottom w:w="0" w:type="dxa"/>
            </w:tcMar>
            <w:tcW w:w="104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572"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1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15"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2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32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6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7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88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rHeight w:val="548"/>
        </w:trPr>
        <w:tc>
          <w:tcPr>
            <w:tcMar>
              <w:left w:w="108" w:type="dxa"/>
              <w:top w:w="0" w:type="dxa"/>
              <w:right w:w="108" w:type="dxa"/>
              <w:bottom w:w="0" w:type="dxa"/>
            </w:tcMar>
            <w:tcW w:w="462" w:type="dxa"/>
            <w:vAlign w:val="center"/>
            <w:textDirection w:val="lrTb"/>
            <w:noWrap/>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hint="eastAsia" w:ascii="宋体" w:hAnsi="宋体" w:cs="宋体"/>
                <w:color w:val="000000"/>
                <w:highlight w:val="none"/>
              </w:rPr>
            </w:r>
            <w:r/>
          </w:p>
        </w:tc>
        <w:tc>
          <w:tcPr>
            <w:tcMar>
              <w:left w:w="108" w:type="dxa"/>
              <w:top w:w="0" w:type="dxa"/>
              <w:right w:w="108" w:type="dxa"/>
              <w:bottom w:w="0" w:type="dxa"/>
            </w:tcMar>
            <w:tcW w:w="104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572"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1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15"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2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32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6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7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88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rHeight w:val="551"/>
        </w:trPr>
        <w:tc>
          <w:tcPr>
            <w:tcMar>
              <w:left w:w="108" w:type="dxa"/>
              <w:top w:w="0" w:type="dxa"/>
              <w:right w:w="108" w:type="dxa"/>
              <w:bottom w:w="0" w:type="dxa"/>
            </w:tcMar>
            <w:tcW w:w="462" w:type="dxa"/>
            <w:vAlign w:val="center"/>
            <w:textDirection w:val="lrTb"/>
            <w:noWrap/>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hint="eastAsia" w:ascii="宋体" w:hAnsi="宋体" w:cs="宋体"/>
                <w:color w:val="000000"/>
                <w:highlight w:val="none"/>
              </w:rPr>
            </w:r>
            <w:r/>
          </w:p>
        </w:tc>
        <w:tc>
          <w:tcPr>
            <w:tcMar>
              <w:left w:w="108" w:type="dxa"/>
              <w:top w:w="0" w:type="dxa"/>
              <w:right w:w="108" w:type="dxa"/>
              <w:bottom w:w="0" w:type="dxa"/>
            </w:tcMar>
            <w:tcW w:w="104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572"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1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15"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2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32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6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7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88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rHeight w:val="547"/>
        </w:trPr>
        <w:tc>
          <w:tcPr>
            <w:tcMar>
              <w:left w:w="108" w:type="dxa"/>
              <w:top w:w="0" w:type="dxa"/>
              <w:right w:w="108" w:type="dxa"/>
              <w:bottom w:w="0" w:type="dxa"/>
            </w:tcMar>
            <w:tcW w:w="462" w:type="dxa"/>
            <w:vAlign w:val="center"/>
            <w:textDirection w:val="lrTb"/>
            <w:noWrap/>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w:t>
            </w:r>
            <w:r>
              <w:rPr>
                <w:rFonts w:hint="eastAsia" w:ascii="宋体" w:hAnsi="宋体" w:cs="宋体"/>
                <w:color w:val="000000"/>
                <w:highlight w:val="none"/>
              </w:rPr>
            </w:r>
            <w:r/>
          </w:p>
        </w:tc>
        <w:tc>
          <w:tcPr>
            <w:tcMar>
              <w:left w:w="108" w:type="dxa"/>
              <w:top w:w="0" w:type="dxa"/>
              <w:right w:w="108" w:type="dxa"/>
              <w:bottom w:w="0" w:type="dxa"/>
            </w:tcMar>
            <w:tcW w:w="104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572"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1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15"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02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132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604"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63"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778"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c>
          <w:tcPr>
            <w:tcMar>
              <w:left w:w="108" w:type="dxa"/>
              <w:top w:w="0" w:type="dxa"/>
              <w:right w:w="108" w:type="dxa"/>
              <w:bottom w:w="0" w:type="dxa"/>
            </w:tcMar>
            <w:tcW w:w="880" w:type="dxa"/>
            <w:vAlign w:val="center"/>
            <w:textDirection w:val="lrTb"/>
            <w:noWrap/>
          </w:tcPr>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rHeight w:val="567"/>
        </w:trPr>
        <w:tc>
          <w:tcPr>
            <w:gridSpan w:val="6"/>
            <w:tcMar>
              <w:left w:w="108" w:type="dxa"/>
              <w:top w:w="0" w:type="dxa"/>
              <w:right w:w="108" w:type="dxa"/>
              <w:bottom w:w="0" w:type="dxa"/>
            </w:tcMar>
            <w:tcW w:w="4730" w:type="dxa"/>
            <w:vAlign w:val="center"/>
            <w:textDirection w:val="lrTb"/>
            <w:noWrap/>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总计（元）</w:t>
            </w:r>
            <w:r>
              <w:rPr>
                <w:rFonts w:hint="eastAsia" w:ascii="宋体" w:hAnsi="宋体" w:cs="宋体"/>
                <w:color w:val="000000"/>
                <w:highlight w:val="none"/>
              </w:rPr>
            </w:r>
            <w:r/>
          </w:p>
        </w:tc>
        <w:tc>
          <w:tcPr>
            <w:gridSpan w:val="5"/>
            <w:tcMar>
              <w:left w:w="108" w:type="dxa"/>
              <w:top w:w="0" w:type="dxa"/>
              <w:right w:w="108" w:type="dxa"/>
              <w:bottom w:w="0" w:type="dxa"/>
            </w:tcMar>
            <w:tcW w:w="4345" w:type="dxa"/>
            <w:vAlign w:val="center"/>
            <w:textDirection w:val="lrTb"/>
            <w:noWrap w:val="false"/>
          </w:tcPr>
          <w:p>
            <w:pPr>
              <w:pStyle w:val="821"/>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821"/>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hint="eastAsia" w:ascii="宋体" w:hAnsi="宋体" w:cs="宋体"/>
                <w:color w:val="000000"/>
                <w:highlight w:val="none"/>
              </w:rPr>
            </w:r>
            <w:r/>
          </w:p>
        </w:tc>
      </w:tr>
      <w:tr>
        <w:trPr>
          <w:trHeight w:val="567"/>
        </w:trPr>
        <w:tc>
          <w:tcPr>
            <w:gridSpan w:val="11"/>
            <w:tcMar>
              <w:left w:w="108" w:type="dxa"/>
              <w:top w:w="0" w:type="dxa"/>
              <w:right w:w="108" w:type="dxa"/>
              <w:bottom w:w="0" w:type="dxa"/>
            </w:tcMar>
            <w:tcW w:w="9075" w:type="dxa"/>
            <w:vAlign w:val="center"/>
            <w:textDirection w:val="lrTb"/>
            <w:noWrap/>
          </w:tcPr>
          <w:p>
            <w:pPr>
              <w:pStyle w:val="821"/>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本采购包中提供的符合本国产品标准的产品成本之和占该采购包提供的全部产品成本之和的比例为</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rPr>
              <w:t xml:space="preserve">%。</w:t>
            </w:r>
            <w:r>
              <w:rPr>
                <w:rFonts w:hint="eastAsia" w:ascii="宋体" w:hAnsi="宋体" w:cs="宋体"/>
                <w:color w:val="000000"/>
                <w:highlight w:val="none"/>
              </w:rPr>
            </w:r>
            <w:r/>
          </w:p>
        </w:tc>
      </w:tr>
    </w:tbl>
    <w:p>
      <w:pPr>
        <w:pStyle w:val="821"/>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color w:val="000000"/>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投标人（盖章）：</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法定代表人（单位负责人）或委托代理人（签字或盖章）：</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日</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填报说明：</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1、“制造商企业类型”栏填写内容为“大型”“中型”“小型”“微型”“监狱企业”或“残疾人福利性单位”。</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2、以上报价包含货物费用、运杂费、安装施工费、集成费、税金和其他费用。</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3、请供应商如实、正确填写本表，所填内容将作为评审的依据，其内容应与对应的证明资料相符。</w:t>
      </w:r>
      <w:r>
        <w:rPr>
          <w:rFonts w:ascii="宋体" w:hAnsi="宋体" w:cs="宋体"/>
          <w:color w:val="000000"/>
          <w:sz w:val="24"/>
          <w:highlight w:val="none"/>
        </w:rPr>
      </w:r>
      <w:r/>
    </w:p>
    <w:p>
      <w:pPr>
        <w:pStyle w:val="821"/>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4、行数或事项不够，可自行增加。</w:t>
      </w:r>
      <w:r>
        <w:rPr>
          <w:rFonts w:ascii="宋体" w:hAnsi="宋体" w:cs="宋体"/>
          <w:color w:val="000000"/>
          <w:sz w:val="24"/>
          <w:highlight w:val="none"/>
        </w:rPr>
      </w:r>
      <w:r/>
    </w:p>
    <w:p>
      <w:pPr>
        <w:pStyle w:val="821"/>
        <w:ind w:firstLine="420"/>
        <w:spacing w:line="360" w:lineRule="auto"/>
        <w:rPr>
          <w:rFonts w:eastAsia="Calibri" w:cs="Calibri"/>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bCs/>
          <w:color w:val="000000"/>
          <w:sz w:val="24"/>
          <w:highlight w:val="none"/>
        </w:rPr>
        <w:t xml:space="preserve">5.</w:t>
      </w:r>
      <w:r>
        <w:rPr>
          <w:rFonts w:ascii="宋体" w:hAnsi="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b/>
          <w:bCs/>
          <w:color w:val="000000"/>
          <w:sz w:val="24"/>
          <w:highlight w:val="none"/>
        </w:rPr>
        <w:t xml:space="preserve">80%</w:t>
      </w:r>
      <w:r>
        <w:rPr>
          <w:rFonts w:ascii="宋体" w:hAnsi="宋体" w:cs="宋体"/>
          <w:b/>
          <w:bCs/>
          <w:color w:val="000000"/>
          <w:sz w:val="24"/>
          <w:highlight w:val="none"/>
        </w:rPr>
        <w:t xml:space="preserve">的，将不享受本国产品价格评审优惠。</w:t>
      </w:r>
      <w:r>
        <w:rPr>
          <w:rFonts w:eastAsia="Calibri" w:cs="Calibri"/>
          <w:b/>
          <w:bCs/>
          <w:color w:val="000000"/>
          <w:szCs w:val="21"/>
          <w:highlight w:val="none"/>
        </w:rPr>
      </w:r>
      <w:r/>
    </w:p>
    <w:p>
      <w:pPr>
        <w:pStyle w:val="821"/>
        <w:jc w:val="center"/>
        <w:keepLines w:val="0"/>
        <w:keepNext w:val="0"/>
        <w:pageBreakBefore w:val="0"/>
        <w:spacing w:line="360" w:lineRule="auto"/>
        <w:widowControl w:val="off"/>
        <w:rPr>
          <w:rFonts w:hint="eastAsia" w:ascii="黑体" w:hAnsi="黑体" w:eastAsia="黑体"/>
          <w:b/>
          <w:color w:val="000000"/>
          <w:sz w:val="32"/>
          <w:szCs w:val="32"/>
          <w:highlight w:val="none"/>
        </w:rPr>
      </w:pPr>
      <w:r/>
      <w:bookmarkStart w:id="566" w:name="_Toc1696"/>
      <w:r/>
      <w:bookmarkStart w:id="567" w:name="_Toc32263"/>
      <w:r/>
      <w:bookmarkStart w:id="568" w:name="_Toc23242"/>
      <w:r>
        <w:rPr>
          <w:rFonts w:hint="eastAsia" w:ascii="黑体" w:hAnsi="黑体" w:eastAsia="黑体"/>
          <w:b/>
          <w:color w:val="000000"/>
          <w:sz w:val="32"/>
          <w:szCs w:val="32"/>
          <w:highlight w:val="none"/>
        </w:rPr>
        <w:t xml:space="preserve">十三、技术要求响应及偏离表（分包号：**）</w:t>
      </w:r>
      <w:bookmarkEnd w:id="566"/>
      <w:r/>
      <w:bookmarkEnd w:id="567"/>
      <w:r/>
      <w:bookmarkEnd w:id="568"/>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87"/>
        <w:gridCol w:w="2569"/>
        <w:gridCol w:w="1519"/>
        <w:gridCol w:w="1687"/>
      </w:tblGrid>
      <w:tr>
        <w:trPr>
          <w:cantSplit/>
        </w:trPr>
        <w:tc>
          <w:tcPr>
            <w:tcW w:w="807"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7"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569"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19"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87"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82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21"/>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21"/>
        <w:jc w:val="center"/>
        <w:keepLines w:val="0"/>
        <w:keepNext w:val="0"/>
        <w:pageBreakBefore w:val="0"/>
        <w:spacing w:line="360" w:lineRule="auto"/>
        <w:widowControl w:val="off"/>
        <w:rPr>
          <w:rFonts w:hint="eastAsia" w:ascii="黑体" w:hAnsi="黑体" w:eastAsia="黑体"/>
          <w:b/>
          <w:color w:val="000000"/>
          <w:sz w:val="32"/>
          <w:szCs w:val="32"/>
          <w:highlight w:val="none"/>
        </w:rPr>
      </w:pPr>
      <w:r/>
      <w:bookmarkEnd w:id="544"/>
      <w:r/>
      <w:bookmarkStart w:id="569" w:name="_Hlt26955054"/>
      <w:r/>
      <w:bookmarkEnd w:id="569"/>
      <w:r/>
      <w:bookmarkStart w:id="570" w:name="_Toc27818"/>
      <w:r/>
      <w:bookmarkStart w:id="571" w:name="_Toc30504"/>
      <w:r/>
      <w:bookmarkStart w:id="572" w:name="_Toc9363"/>
      <w:r>
        <w:rPr>
          <w:rFonts w:hint="eastAsia" w:ascii="黑体" w:hAnsi="黑体" w:eastAsia="黑体"/>
          <w:b/>
          <w:color w:val="000000"/>
          <w:sz w:val="32"/>
          <w:szCs w:val="32"/>
          <w:highlight w:val="none"/>
        </w:rPr>
        <w:t xml:space="preserve">十四、商务要求响应及偏离表（分包号：**）</w:t>
      </w:r>
      <w:bookmarkEnd w:id="570"/>
      <w:r/>
      <w:bookmarkEnd w:id="571"/>
      <w:r/>
      <w:bookmarkEnd w:id="572"/>
      <w:r>
        <w:rPr>
          <w:rFonts w:hint="eastAsia" w:ascii="黑体" w:hAnsi="黑体" w:eastAsia="黑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32"/>
        <w:gridCol w:w="2306"/>
        <w:gridCol w:w="1669"/>
        <w:gridCol w:w="1932"/>
      </w:tblGrid>
      <w:tr>
        <w:trPr>
          <w:cantSplit/>
        </w:trPr>
        <w:tc>
          <w:tcPr>
            <w:tcW w:w="730" w:type="dxa"/>
            <w:vAlign w:val="center"/>
            <w:textDirection w:val="lrTb"/>
            <w:noWrap w:val="false"/>
          </w:tcPr>
          <w:p>
            <w:pPr>
              <w:pStyle w:val="821"/>
              <w:jc w:val="center"/>
              <w:rPr>
                <w:rFonts w:hint="eastAsia" w:ascii="宋体" w:hAnsi="宋体"/>
                <w:color w:val="000000"/>
                <w:sz w:val="24"/>
                <w:szCs w:val="24"/>
                <w:highlight w:val="none"/>
              </w:rPr>
            </w:pPr>
            <w:r/>
            <w:bookmarkStart w:id="573" w:name="_Hlt26955056"/>
            <w:r/>
            <w:bookmarkEnd w:id="573"/>
            <w:r/>
            <w:bookmarkStart w:id="574" w:name="_Hlt24879081"/>
            <w:r/>
            <w:bookmarkEnd w:id="574"/>
            <w:r/>
            <w:bookmarkStart w:id="575" w:name="_Hlt26671372"/>
            <w:r/>
            <w:bookmarkEnd w:id="575"/>
            <w:r/>
            <w:bookmarkStart w:id="576" w:name="_Hlt26609391"/>
            <w:r/>
            <w:bookmarkEnd w:id="576"/>
            <w:r/>
            <w:bookmarkStart w:id="577" w:name="_Hlt26580838"/>
            <w:r/>
            <w:bookmarkEnd w:id="577"/>
            <w:r/>
            <w:bookmarkStart w:id="578" w:name="_Hlt26955064"/>
            <w:r/>
            <w:bookmarkEnd w:id="578"/>
            <w:r/>
            <w:bookmarkStart w:id="579" w:name="_Hlt26782999"/>
            <w:r/>
            <w:bookmarkEnd w:id="579"/>
            <w:r/>
            <w:bookmarkStart w:id="580" w:name="_Hlt26671343"/>
            <w:r/>
            <w:bookmarkEnd w:id="58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32"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306"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669"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932" w:type="dxa"/>
            <w:vAlign w:val="center"/>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82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306"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8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21"/>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21"/>
        <w:jc w:val="left"/>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2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21"/>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21"/>
        <w:rPr>
          <w:rFonts w:hint="eastAsia" w:ascii="宋体" w:hAnsi="宋体"/>
          <w:color w:val="000000"/>
          <w:sz w:val="24"/>
          <w:szCs w:val="21"/>
          <w:highlight w:val="none"/>
        </w:rPr>
      </w:pPr>
      <w:r/>
      <w:bookmarkStart w:id="581" w:name="_Hlt26671374"/>
      <w:r/>
      <w:bookmarkEnd w:id="581"/>
      <w:r/>
      <w:bookmarkStart w:id="582" w:name="_Hlt26955066"/>
      <w:r/>
      <w:bookmarkEnd w:id="582"/>
      <w:r/>
      <w:bookmarkStart w:id="583" w:name="_Hlt26609389"/>
      <w:r/>
      <w:bookmarkEnd w:id="583"/>
      <w:r/>
      <w:bookmarkStart w:id="584" w:name="_Toc462564146"/>
      <w:r>
        <w:rPr>
          <w:rFonts w:hint="eastAsia" w:ascii="宋体" w:hAnsi="宋体"/>
          <w:color w:val="000000"/>
          <w:sz w:val="24"/>
          <w:szCs w:val="21"/>
          <w:highlight w:val="none"/>
        </w:rPr>
      </w:r>
      <w:r/>
    </w:p>
    <w:p>
      <w:pPr>
        <w:pStyle w:val="821"/>
        <w:jc w:val="center"/>
        <w:rPr>
          <w:rFonts w:hint="eastAsia" w:ascii="黑体" w:hAnsi="黑体" w:eastAsia="黑体"/>
          <w:b/>
          <w:color w:val="000000"/>
          <w:sz w:val="32"/>
          <w:szCs w:val="32"/>
          <w:highlight w:val="none"/>
        </w:rPr>
      </w:pPr>
      <w:r/>
      <w:bookmarkEnd w:id="434"/>
      <w:r/>
      <w:bookmarkEnd w:id="440"/>
      <w:r/>
      <w:bookmarkEnd w:id="584"/>
      <w:r/>
      <w:bookmarkStart w:id="585" w:name="_格式2__法定代表人授权书"/>
      <w:r/>
      <w:bookmarkEnd w:id="585"/>
      <w:r>
        <w:rPr>
          <w:rFonts w:hint="eastAsia" w:ascii="黑体" w:hAnsi="黑体" w:eastAsia="黑体"/>
          <w:b/>
          <w:color w:val="000000"/>
          <w:sz w:val="32"/>
          <w:szCs w:val="32"/>
          <w:highlight w:val="none"/>
        </w:rPr>
      </w:r>
      <w:r/>
    </w:p>
    <w:p>
      <w:pPr>
        <w:pStyle w:val="82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jc w:val="center"/>
        <w:spacing w:line="360" w:lineRule="auto"/>
        <w:rPr>
          <w:rFonts w:hint="eastAsia" w:ascii="Times New Roman" w:hAnsi="Times New Roman" w:eastAsia="仿宋_GB2312"/>
          <w:color w:val="000000"/>
          <w:sz w:val="24"/>
          <w:szCs w:val="20"/>
          <w:highlight w:val="none"/>
        </w:rPr>
      </w:pPr>
      <w:r/>
      <w:bookmarkStart w:id="586" w:name="_Toc16334"/>
      <w:r/>
      <w:bookmarkStart w:id="587" w:name="_Toc7688"/>
      <w:r/>
      <w:bookmarkStart w:id="588" w:name="_Toc21985"/>
      <w:r>
        <w:rPr>
          <w:rFonts w:hint="eastAsia" w:ascii="黑体" w:hAnsi="黑体" w:eastAsia="黑体"/>
          <w:b/>
          <w:iCs/>
          <w:color w:val="000000"/>
          <w:sz w:val="32"/>
          <w:szCs w:val="32"/>
          <w:highlight w:val="none"/>
          <w:u w:val="single"/>
        </w:rPr>
        <w:t xml:space="preserve">十五、开标一览表</w:t>
      </w:r>
      <w:bookmarkEnd w:id="586"/>
      <w:r/>
      <w:bookmarkEnd w:id="587"/>
      <w:r/>
      <w:bookmarkEnd w:id="588"/>
      <w:r>
        <w:rPr>
          <w:rFonts w:hint="eastAsia" w:ascii="Times New Roman" w:hAnsi="Times New Roman" w:eastAsia="仿宋_GB2312"/>
          <w:color w:val="000000"/>
          <w:sz w:val="24"/>
          <w:szCs w:val="20"/>
          <w:highlight w:val="none"/>
        </w:rPr>
      </w:r>
      <w:r/>
    </w:p>
    <w:p>
      <w:pPr>
        <w:pStyle w:val="82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21"/>
        <w:ind w:firstLine="480"/>
        <w:spacing w:line="360" w:lineRule="auto"/>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2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9"/>
        <w:gridCol w:w="6271"/>
      </w:tblGrid>
      <w:tr>
        <w:trPr>
          <w:cantSplit/>
          <w:trHeight w:val="725"/>
        </w:trPr>
        <w:tc>
          <w:tcPr>
            <w:gridSpan w:val="2"/>
            <w:tcW w:w="8700" w:type="dxa"/>
            <w:vAlign w:val="center"/>
            <w:textDirection w:val="lrTb"/>
            <w:noWrap w:val="false"/>
          </w:tcPr>
          <w:p>
            <w:pPr>
              <w:pStyle w:val="821"/>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700" w:type="dxa"/>
            <w:vAlign w:val="center"/>
            <w:textDirection w:val="lrTb"/>
            <w:noWrap w:val="false"/>
          </w:tcPr>
          <w:p>
            <w:pPr>
              <w:pStyle w:val="821"/>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29" w:type="dxa"/>
            <w:vAlign w:val="center"/>
            <w:textDirection w:val="lrTb"/>
            <w:noWrap w:val="false"/>
          </w:tcPr>
          <w:p>
            <w:pPr>
              <w:pStyle w:val="821"/>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271" w:type="dxa"/>
            <w:vAlign w:val="center"/>
            <w:textDirection w:val="lrTb"/>
            <w:noWrap w:val="false"/>
          </w:tcPr>
          <w:p>
            <w:pPr>
              <w:pStyle w:val="82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21"/>
        <w:rPr>
          <w:rFonts w:ascii="宋体" w:hAnsi="宋体"/>
          <w:color w:val="000000"/>
          <w:sz w:val="24"/>
          <w:szCs w:val="24"/>
          <w:highlight w:val="none"/>
        </w:rPr>
      </w:pPr>
      <w:r>
        <w:rPr>
          <w:rFonts w:ascii="宋体" w:hAnsi="宋体"/>
          <w:color w:val="000000"/>
          <w:sz w:val="24"/>
          <w:szCs w:val="24"/>
          <w:highlight w:val="none"/>
        </w:rPr>
      </w:r>
      <w:r/>
    </w:p>
    <w:p>
      <w:pPr>
        <w:pStyle w:val="821"/>
        <w:ind w:firstLine="48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21"/>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center"/>
        <w:spacing w:line="360" w:lineRule="auto"/>
        <w:rPr>
          <w:rFonts w:hint="eastAsia" w:ascii="黑体" w:hAnsi="黑体" w:eastAsia="黑体"/>
          <w:b/>
          <w:iCs/>
          <w:color w:val="000000"/>
          <w:sz w:val="32"/>
          <w:szCs w:val="32"/>
          <w:highlight w:val="none"/>
          <w:u w:val="single"/>
        </w:rPr>
      </w:pPr>
      <w:r>
        <w:rPr>
          <w:rFonts w:hint="eastAsia" w:ascii="黑体" w:hAnsi="黑体" w:eastAsia="黑体"/>
          <w:b/>
          <w:iCs/>
          <w:color w:val="000000"/>
          <w:sz w:val="32"/>
          <w:szCs w:val="32"/>
          <w:highlight w:val="none"/>
          <w:u w:val="single"/>
        </w:rPr>
        <w:t xml:space="preserve">十六、类似项目业绩一览表 </w:t>
      </w:r>
      <w:r>
        <w:rPr>
          <w:rFonts w:hint="eastAsia" w:ascii="黑体" w:hAnsi="黑体" w:eastAsia="黑体"/>
          <w:b/>
          <w:iCs/>
          <w:color w:val="000000"/>
          <w:sz w:val="32"/>
          <w:szCs w:val="32"/>
          <w:highlight w:val="none"/>
          <w:u w:val="single"/>
        </w:rPr>
      </w:r>
      <w:r/>
    </w:p>
    <w:p>
      <w:pPr>
        <w:pStyle w:val="821"/>
        <w:jc w:val="center"/>
        <w:spacing w:line="360" w:lineRule="auto"/>
        <w:rPr>
          <w:rFonts w:hint="eastAsia" w:ascii="黑体" w:hAnsi="黑体" w:eastAsia="黑体"/>
          <w:b/>
          <w:iCs/>
          <w:color w:val="000000"/>
          <w:sz w:val="32"/>
          <w:szCs w:val="32"/>
          <w:highlight w:val="none"/>
        </w:rPr>
      </w:pPr>
      <w:r>
        <w:rPr>
          <w:rFonts w:hint="eastAsia" w:ascii="黑体" w:hAnsi="黑体" w:eastAsia="黑体"/>
          <w:b/>
          <w:iCs/>
          <w:color w:val="000000"/>
          <w:sz w:val="32"/>
          <w:szCs w:val="32"/>
          <w:highlight w:val="none"/>
        </w:rPr>
        <w:t xml:space="preserve">类似项目业绩一览表</w:t>
      </w:r>
      <w:r>
        <w:rPr>
          <w:rFonts w:hint="eastAsia" w:ascii="黑体" w:hAnsi="黑体" w:eastAsia="黑体"/>
          <w:b/>
          <w:iCs/>
          <w:color w:val="000000"/>
          <w:sz w:val="32"/>
          <w:szCs w:val="32"/>
          <w:highlight w:val="none"/>
        </w:rPr>
      </w:r>
      <w:r/>
    </w:p>
    <w:p>
      <w:pPr>
        <w:pStyle w:val="821"/>
        <w:ind w:firstLine="48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trHeight w:val="601"/>
        </w:trPr>
        <w:tc>
          <w:tcPr>
            <w:tcW w:w="853"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508"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508"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508"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508"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508"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2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2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21"/>
        <w:ind w:firstLine="48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21"/>
        <w:ind w:firstLine="48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21"/>
        <w:ind w:firstLine="48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21"/>
        <w:rPr>
          <w:color w:val="000000"/>
          <w:highlight w:val="none"/>
        </w:rPr>
      </w:pPr>
      <w:r>
        <w:rPr>
          <w:color w:val="000000"/>
          <w:highlight w:val="none"/>
        </w:rPr>
      </w:r>
      <w:r/>
    </w:p>
    <w:p>
      <w:pPr>
        <w:pStyle w:val="821"/>
        <w:rPr>
          <w:color w:val="000000"/>
          <w:highlight w:val="none"/>
        </w:rPr>
      </w:pPr>
      <w:r>
        <w:rPr>
          <w:color w:val="000000"/>
          <w:highlight w:val="none"/>
        </w:rPr>
      </w:r>
      <w:r/>
    </w:p>
    <w:p>
      <w:pPr>
        <w:pStyle w:val="821"/>
        <w:jc w:val="center"/>
        <w:rPr>
          <w:rFonts w:hint="eastAsia" w:ascii="黑体" w:hAnsi="黑体" w:eastAsia="黑体"/>
          <w:b/>
          <w:iCs/>
          <w:color w:val="000000"/>
          <w:sz w:val="32"/>
          <w:szCs w:val="32"/>
          <w:highlight w:val="none"/>
        </w:rPr>
      </w:pPr>
      <w:r>
        <w:rPr>
          <w:rFonts w:hint="eastAsia" w:ascii="Arial" w:hAnsi="Arial" w:cs="Arial"/>
          <w:iCs/>
          <w:color w:val="000000"/>
          <w:sz w:val="36"/>
          <w:highlight w:val="none"/>
        </w:rPr>
        <w:br w:type="page" w:clear="all"/>
      </w:r>
      <w:r>
        <w:rPr>
          <w:rFonts w:hint="eastAsia" w:ascii="黑体" w:hAnsi="黑体" w:eastAsia="黑体"/>
          <w:b/>
          <w:iCs/>
          <w:color w:val="000000"/>
          <w:sz w:val="32"/>
          <w:szCs w:val="32"/>
          <w:highlight w:val="none"/>
        </w:rPr>
        <w:t xml:space="preserve">十七、项目团队人员一览表</w:t>
      </w:r>
      <w:r>
        <w:rPr>
          <w:rFonts w:hint="eastAsia" w:ascii="黑体" w:hAnsi="黑体" w:eastAsia="黑体"/>
          <w:b/>
          <w:iCs/>
          <w:color w:val="000000"/>
          <w:sz w:val="32"/>
          <w:szCs w:val="32"/>
          <w:highlight w:val="none"/>
        </w:rPr>
      </w:r>
      <w:r/>
    </w:p>
    <w:p>
      <w:pPr>
        <w:pStyle w:val="821"/>
        <w:jc w:val="center"/>
        <w:spacing w:line="360" w:lineRule="auto"/>
        <w:rPr>
          <w:rFonts w:hint="eastAsia" w:ascii="黑体" w:hAnsi="黑体" w:eastAsia="黑体"/>
          <w:b/>
          <w:iCs/>
          <w:color w:val="000000"/>
          <w:sz w:val="32"/>
          <w:szCs w:val="32"/>
          <w:highlight w:val="none"/>
        </w:rPr>
      </w:pPr>
      <w:r>
        <w:rPr>
          <w:rFonts w:hint="eastAsia" w:ascii="黑体" w:hAnsi="黑体" w:eastAsia="黑体"/>
          <w:b/>
          <w:iCs/>
          <w:color w:val="000000"/>
          <w:sz w:val="32"/>
          <w:szCs w:val="32"/>
          <w:highlight w:val="none"/>
        </w:rPr>
        <w:t xml:space="preserve">项目团队人员一览表</w:t>
      </w:r>
      <w:r>
        <w:rPr>
          <w:rFonts w:hint="eastAsia" w:ascii="黑体" w:hAnsi="黑体" w:eastAsia="黑体"/>
          <w:b/>
          <w:iCs/>
          <w:color w:val="000000"/>
          <w:sz w:val="32"/>
          <w:szCs w:val="32"/>
          <w:highlight w:val="none"/>
        </w:rPr>
      </w:r>
      <w:r/>
    </w:p>
    <w:p>
      <w:pPr>
        <w:pStyle w:val="821"/>
        <w:ind w:firstLine="24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90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36"/>
        <w:gridCol w:w="2379"/>
        <w:gridCol w:w="1205"/>
        <w:gridCol w:w="1205"/>
        <w:gridCol w:w="1701"/>
      </w:tblGrid>
      <w:tr>
        <w:trPr>
          <w:cantSplit/>
          <w:trHeight w:val="992"/>
        </w:trPr>
        <w:tc>
          <w:tcPr>
            <w:tcW w:w="1010"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6"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379"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205"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205"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701" w:type="dxa"/>
            <w:vAlign w:val="center"/>
            <w:textDirection w:val="lrTb"/>
            <w:noWrap w:val="false"/>
          </w:tcPr>
          <w:p>
            <w:pPr>
              <w:pStyle w:val="821"/>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707"/>
        </w:trPr>
        <w:tc>
          <w:tcPr>
            <w:tcW w:w="1010"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82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2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2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821"/>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821"/>
        <w:rPr>
          <w:color w:val="000000"/>
          <w:highlight w:val="none"/>
        </w:rPr>
      </w:pPr>
      <w:r>
        <w:rPr>
          <w:color w:val="000000"/>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21"/>
        <w:jc w:val="center"/>
        <w:rPr>
          <w:rFonts w:ascii="宋体" w:hAnsi="宋体" w:cs="仿宋"/>
          <w:b/>
          <w:bCs/>
          <w:color w:val="000000"/>
          <w:sz w:val="32"/>
          <w:szCs w:val="32"/>
          <w:highlight w:val="none"/>
        </w:rPr>
        <w:outlineLvl w:val="0"/>
      </w:pPr>
      <w:r/>
      <w:bookmarkStart w:id="589" w:name="_Toc6132"/>
      <w:r/>
      <w:bookmarkStart w:id="590" w:name="_Toc13658"/>
      <w:r/>
      <w:bookmarkStart w:id="591" w:name="_Toc24376"/>
      <w:r/>
      <w:bookmarkStart w:id="592" w:name="_Toc10161"/>
      <w:r>
        <w:rPr>
          <w:rFonts w:hint="eastAsia" w:ascii="宋体" w:hAnsi="宋体" w:cs="仿宋"/>
          <w:b/>
          <w:bCs/>
          <w:color w:val="000000"/>
          <w:sz w:val="32"/>
          <w:szCs w:val="32"/>
          <w:highlight w:val="none"/>
        </w:rPr>
        <w:t xml:space="preserve">质疑函范本</w:t>
      </w:r>
      <w:bookmarkEnd w:id="589"/>
      <w:r/>
      <w:bookmarkEnd w:id="590"/>
      <w:r/>
      <w:bookmarkEnd w:id="591"/>
      <w:r/>
      <w:bookmarkEnd w:id="592"/>
      <w:r>
        <w:rPr>
          <w:rFonts w:ascii="宋体" w:hAnsi="宋体" w:cs="仿宋"/>
          <w:b/>
          <w:bCs/>
          <w:color w:val="000000"/>
          <w:sz w:val="32"/>
          <w:szCs w:val="32"/>
          <w:highlight w:val="none"/>
        </w:rPr>
      </w:r>
      <w:r/>
    </w:p>
    <w:p>
      <w:pPr>
        <w:pStyle w:val="821"/>
        <w:spacing w:before="290" w:line="360" w:lineRule="auto"/>
        <w:rPr>
          <w:rFonts w:ascii="宋体" w:hAnsi="宋体" w:cs="仿宋"/>
          <w:bCs/>
          <w:color w:val="000000"/>
          <w:sz w:val="24"/>
          <w:szCs w:val="24"/>
          <w:highlight w:val="none"/>
        </w:rPr>
        <w:outlineLvl w:val="1"/>
      </w:pPr>
      <w:r/>
      <w:bookmarkStart w:id="593" w:name="_Toc24492"/>
      <w:r/>
      <w:bookmarkStart w:id="594" w:name="_Toc2710"/>
      <w:r/>
      <w:bookmarkStart w:id="595" w:name="_Toc8423"/>
      <w:r/>
      <w:bookmarkStart w:id="596" w:name="_Toc20669"/>
      <w:r>
        <w:rPr>
          <w:rFonts w:hint="eastAsia" w:ascii="宋体" w:hAnsi="宋体" w:cs="仿宋"/>
          <w:bCs/>
          <w:color w:val="000000"/>
          <w:sz w:val="24"/>
          <w:szCs w:val="24"/>
          <w:highlight w:val="none"/>
        </w:rPr>
        <w:t xml:space="preserve">一、质疑供应商基本信息</w:t>
      </w:r>
      <w:bookmarkEnd w:id="593"/>
      <w:r/>
      <w:bookmarkEnd w:id="594"/>
      <w:r/>
      <w:bookmarkEnd w:id="595"/>
      <w:r/>
      <w:bookmarkEnd w:id="596"/>
      <w:r>
        <w:rPr>
          <w:rFonts w:ascii="宋体" w:hAnsi="宋体" w:cs="仿宋"/>
          <w:bCs/>
          <w:color w:val="000000"/>
          <w:sz w:val="24"/>
          <w:szCs w:val="24"/>
          <w:highlight w:val="non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bCs/>
          <w:color w:val="000000"/>
          <w:sz w:val="24"/>
          <w:szCs w:val="24"/>
          <w:highlight w:val="none"/>
        </w:rPr>
        <w:outlineLvl w:val="1"/>
      </w:pPr>
      <w:r/>
      <w:bookmarkStart w:id="597" w:name="_Toc12024"/>
      <w:r/>
      <w:bookmarkStart w:id="598" w:name="_Toc4"/>
      <w:r/>
      <w:bookmarkStart w:id="599" w:name="_Toc475"/>
      <w:r/>
      <w:bookmarkStart w:id="600" w:name="_Toc4247"/>
      <w:r>
        <w:rPr>
          <w:rFonts w:hint="eastAsia" w:ascii="宋体" w:hAnsi="宋体" w:cs="仿宋"/>
          <w:bCs/>
          <w:color w:val="000000"/>
          <w:sz w:val="24"/>
          <w:szCs w:val="24"/>
          <w:highlight w:val="none"/>
        </w:rPr>
        <w:t xml:space="preserve">二、质疑项目基本情况</w:t>
      </w:r>
      <w:bookmarkEnd w:id="597"/>
      <w:r/>
      <w:bookmarkEnd w:id="598"/>
      <w:r/>
      <w:bookmarkEnd w:id="599"/>
      <w:r/>
      <w:bookmarkEnd w:id="600"/>
      <w:r>
        <w:rPr>
          <w:rFonts w:ascii="宋体" w:hAnsi="宋体" w:cs="仿宋"/>
          <w:bCs/>
          <w:color w:val="000000"/>
          <w:sz w:val="24"/>
          <w:szCs w:val="24"/>
          <w:highlight w:val="non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bCs/>
          <w:color w:val="000000"/>
          <w:sz w:val="24"/>
          <w:szCs w:val="24"/>
          <w:highlight w:val="none"/>
        </w:rPr>
        <w:outlineLvl w:val="1"/>
      </w:pPr>
      <w:r/>
      <w:bookmarkStart w:id="601" w:name="_Toc12821"/>
      <w:r/>
      <w:bookmarkStart w:id="602" w:name="_Toc30649"/>
      <w:r/>
      <w:bookmarkStart w:id="603" w:name="_Toc3411"/>
      <w:r/>
      <w:bookmarkStart w:id="604" w:name="_Toc574"/>
      <w:r>
        <w:rPr>
          <w:rFonts w:hint="eastAsia" w:ascii="宋体" w:hAnsi="宋体" w:cs="仿宋"/>
          <w:bCs/>
          <w:color w:val="000000"/>
          <w:sz w:val="24"/>
          <w:szCs w:val="24"/>
          <w:highlight w:val="none"/>
        </w:rPr>
        <w:t xml:space="preserve">三、质疑事项具体内容</w:t>
      </w:r>
      <w:bookmarkEnd w:id="601"/>
      <w:r/>
      <w:bookmarkEnd w:id="602"/>
      <w:r/>
      <w:bookmarkEnd w:id="603"/>
      <w:r/>
      <w:bookmarkEnd w:id="604"/>
      <w:r>
        <w:rPr>
          <w:rFonts w:ascii="宋体" w:hAnsi="宋体" w:cs="仿宋"/>
          <w:bCs/>
          <w:color w:val="000000"/>
          <w:sz w:val="24"/>
          <w:szCs w:val="24"/>
          <w:highlight w:val="non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2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21"/>
        <w:spacing w:line="360" w:lineRule="auto"/>
        <w:rPr>
          <w:rFonts w:ascii="宋体" w:hAnsi="宋体" w:cs="仿宋"/>
          <w:bCs/>
          <w:color w:val="000000"/>
          <w:sz w:val="24"/>
          <w:szCs w:val="24"/>
          <w:highlight w:val="none"/>
        </w:rPr>
        <w:outlineLvl w:val="1"/>
      </w:pPr>
      <w:r/>
      <w:bookmarkStart w:id="605" w:name="_Toc4518"/>
      <w:r/>
      <w:bookmarkStart w:id="606" w:name="_Toc3672"/>
      <w:r/>
      <w:bookmarkStart w:id="607" w:name="_Toc30114"/>
      <w:r/>
      <w:bookmarkStart w:id="608" w:name="_Toc26511"/>
      <w:r>
        <w:rPr>
          <w:rFonts w:hint="eastAsia" w:ascii="宋体" w:hAnsi="宋体" w:cs="仿宋"/>
          <w:bCs/>
          <w:color w:val="000000"/>
          <w:sz w:val="24"/>
          <w:szCs w:val="24"/>
          <w:highlight w:val="none"/>
        </w:rPr>
        <w:t xml:space="preserve">四、与质疑事项相关的质疑请求</w:t>
      </w:r>
      <w:bookmarkEnd w:id="605"/>
      <w:r/>
      <w:bookmarkEnd w:id="606"/>
      <w:r/>
      <w:bookmarkEnd w:id="607"/>
      <w:r/>
      <w:bookmarkEnd w:id="608"/>
      <w:r>
        <w:rPr>
          <w:rFonts w:ascii="宋体" w:hAnsi="宋体" w:cs="仿宋"/>
          <w:bCs/>
          <w:color w:val="000000"/>
          <w:sz w:val="24"/>
          <w:szCs w:val="24"/>
          <w:highlight w:val="none"/>
        </w:rPr>
      </w:r>
      <w:r/>
    </w:p>
    <w:p>
      <w:pPr>
        <w:pStyle w:val="82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2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2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2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2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2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2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2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2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2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21"/>
        <w:ind w:firstLine="42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方正幼线_GBK">
    <w:panose1 w:val="020B0503020202020204"/>
  </w:font>
  <w:font w:name="Arial Unicode MS">
    <w:panose1 w:val="020B0604020202020204"/>
  </w:font>
  <w:font w:name="宋体">
    <w:panose1 w:val="02010600030101010101"/>
  </w:font>
  <w:font w:name="方正小标宋_GBK">
    <w:panose1 w:val="020B0503020202020204"/>
  </w:font>
  <w:font w:name="Microsoft JhengHei Light">
    <w:panose1 w:val="020B03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rPr>
        <w:rStyle w:val="878"/>
        <w:rFonts w:ascii="宋体" w:hAnsi="宋体"/>
      </w:rPr>
      <w:framePr w:wrap="around" w:vAnchor="text" w:hAnchor="margin" w:xAlign="center" w:y="1"/>
    </w:pPr>
    <w:r>
      <w:rPr>
        <w:rFonts w:ascii="宋体" w:hAnsi="宋体"/>
      </w:rPr>
      <w:fldChar w:fldCharType="begin"/>
    </w:r>
    <w:r>
      <w:rPr>
        <w:rStyle w:val="878"/>
        <w:rFonts w:ascii="宋体" w:hAnsi="宋体"/>
      </w:rPr>
      <w:instrText xml:space="preserve">PAGE  </w:instrText>
    </w:r>
    <w:r>
      <w:rPr>
        <w:rFonts w:ascii="宋体" w:hAnsi="宋体"/>
      </w:rPr>
      <w:fldChar w:fldCharType="separate"/>
    </w:r>
    <w:r>
      <w:rPr>
        <w:rStyle w:val="878"/>
        <w:rFonts w:ascii="宋体" w:hAnsi="宋体"/>
      </w:rPr>
      <w:t xml:space="preserve">４２</w:t>
    </w:r>
    <w:r>
      <w:rPr>
        <w:rFonts w:ascii="宋体" w:hAnsi="宋体"/>
      </w:rPr>
      <w:fldChar w:fldCharType="end"/>
    </w:r>
    <w:r>
      <w:rPr>
        <w:rStyle w:val="878"/>
        <w:rFonts w:ascii="宋体" w:hAnsi="宋体"/>
      </w:rPr>
    </w:r>
    <w:r/>
  </w:p>
  <w:p>
    <w:pPr>
      <w:pStyle w:val="11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rPr>
        <w:rStyle w:val="878"/>
      </w:rPr>
      <w:framePr w:wrap="around" w:vAnchor="text" w:hAnchor="margin" w:xAlign="center" w:y="1"/>
    </w:pPr>
    <w:r>
      <w:fldChar w:fldCharType="begin"/>
    </w:r>
    <w:r>
      <w:rPr>
        <w:rStyle w:val="878"/>
      </w:rPr>
      <w:instrText xml:space="preserve">PAGE  </w:instrText>
    </w:r>
    <w:r>
      <w:fldChar w:fldCharType="separate"/>
    </w:r>
    <w:r>
      <w:rPr>
        <w:rStyle w:val="878"/>
      </w:rPr>
      <w:t xml:space="preserve">1</w:t>
    </w:r>
    <w:r>
      <w:fldChar w:fldCharType="end"/>
    </w:r>
    <w:r>
      <w:rPr>
        <w:rStyle w:val="878"/>
      </w:rPr>
    </w:r>
    <w:r/>
  </w:p>
  <w:p>
    <w:pPr>
      <w:pStyle w:val="11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rPr>
                              <w:rStyle w:val="878"/>
                              <w:rFonts w:ascii="宋体" w:hAnsi="宋体"/>
                            </w:rPr>
                          </w:pPr>
                          <w:r>
                            <w:rPr>
                              <w:rFonts w:ascii="宋体" w:hAnsi="宋体"/>
                            </w:rPr>
                            <w:fldChar w:fldCharType="begin"/>
                          </w:r>
                          <w:r>
                            <w:rPr>
                              <w:rStyle w:val="878"/>
                              <w:rFonts w:ascii="宋体" w:hAnsi="宋体"/>
                            </w:rPr>
                            <w:instrText xml:space="preserve">PAGE  </w:instrText>
                          </w:r>
                          <w:r>
                            <w:rPr>
                              <w:rFonts w:ascii="宋体" w:hAnsi="宋体"/>
                            </w:rPr>
                            <w:fldChar w:fldCharType="separate"/>
                          </w:r>
                          <w:r>
                            <w:rPr>
                              <w:rStyle w:val="878"/>
                              <w:rFonts w:ascii="宋体" w:hAnsi="宋体"/>
                            </w:rPr>
                            <w:t xml:space="preserve">49</w:t>
                          </w:r>
                          <w:r>
                            <w:rPr>
                              <w:rFonts w:ascii="宋体" w:hAnsi="宋体"/>
                            </w:rPr>
                            <w:fldChar w:fldCharType="end"/>
                          </w:r>
                          <w:r>
                            <w:rPr>
                              <w:rStyle w:val="878"/>
                              <w:rFonts w:ascii="宋体" w:hAnsi="宋体"/>
                            </w:rPr>
                          </w:r>
                          <w:r/>
                        </w:p>
                        <w:p>
                          <w:pPr>
                            <w:pStyle w:val="8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rPr>
                        <w:rStyle w:val="878"/>
                        <w:rFonts w:ascii="宋体" w:hAnsi="宋体"/>
                      </w:rPr>
                    </w:pPr>
                    <w:r>
                      <w:rPr>
                        <w:rFonts w:ascii="宋体" w:hAnsi="宋体"/>
                      </w:rPr>
                      <w:fldChar w:fldCharType="begin"/>
                    </w:r>
                    <w:r>
                      <w:rPr>
                        <w:rStyle w:val="878"/>
                        <w:rFonts w:ascii="宋体" w:hAnsi="宋体"/>
                      </w:rPr>
                      <w:instrText xml:space="preserve">PAGE  </w:instrText>
                    </w:r>
                    <w:r>
                      <w:rPr>
                        <w:rFonts w:ascii="宋体" w:hAnsi="宋体"/>
                      </w:rPr>
                      <w:fldChar w:fldCharType="separate"/>
                    </w:r>
                    <w:r>
                      <w:rPr>
                        <w:rStyle w:val="878"/>
                        <w:rFonts w:ascii="宋体" w:hAnsi="宋体"/>
                      </w:rPr>
                      <w:t xml:space="preserve">49</w:t>
                    </w:r>
                    <w:r>
                      <w:rPr>
                        <w:rFonts w:ascii="宋体" w:hAnsi="宋体"/>
                      </w:rPr>
                      <w:fldChar w:fldCharType="end"/>
                    </w:r>
                    <w:r>
                      <w:rPr>
                        <w:rStyle w:val="878"/>
                        <w:rFonts w:ascii="宋体" w:hAnsi="宋体"/>
                      </w:rPr>
                    </w:r>
                    <w:r/>
                  </w:p>
                  <w:p>
                    <w:pPr>
                      <w:pStyle w:val="82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8"/>
      <w:isLgl w:val="false"/>
      <w:suff w:val="tab"/>
      <w:lvlText w:val="附录%1."/>
      <w:lvlJc w:val="left"/>
      <w:pPr>
        <w:pStyle w:val="821"/>
        <w:ind w:left="907" w:hanging="907"/>
        <w:tabs>
          <w:tab w:val="num" w:pos="907" w:leader="none"/>
        </w:tabs>
      </w:pPr>
      <w:rPr>
        <w:rFonts w:hint="eastAsia"/>
      </w:r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821"/>
        <w:ind w:left="0" w:firstLine="0"/>
      </w:pPr>
      <w:rPr>
        <w:rFonts w:hint="eastAsia"/>
      </w:rPr>
    </w:lvl>
    <w:lvl w:ilvl="1">
      <w:start w:val="1"/>
      <w:numFmt w:val="decimal"/>
      <w:isLgl w:val="false"/>
      <w:suff w:val="nothing"/>
      <w:lvlText w:val="%2、"/>
      <w:lvlJc w:val="left"/>
      <w:pPr>
        <w:pStyle w:val="821"/>
        <w:ind w:left="0" w:firstLine="0"/>
      </w:pPr>
      <w:rPr>
        <w:rFonts w:hint="eastAsia"/>
      </w:rPr>
    </w:lvl>
    <w:lvl w:ilvl="2">
      <w:start w:val="1"/>
      <w:numFmt w:val="decimal"/>
      <w:isLgl w:val="false"/>
      <w:suff w:val="nothing"/>
      <w:lvlText w:val="%2.%3 "/>
      <w:lvlJc w:val="left"/>
      <w:pPr>
        <w:pStyle w:val="821"/>
        <w:ind w:left="0" w:firstLine="0"/>
      </w:pPr>
      <w:rPr>
        <w:rFonts w:hint="eastAsia"/>
      </w:rPr>
    </w:lvl>
    <w:lvl w:ilvl="3">
      <w:start w:val="1"/>
      <w:numFmt w:val="decimal"/>
      <w:isLgl w:val="false"/>
      <w:suff w:val="nothing"/>
      <w:lvlText w:val="%2.%3.%4 "/>
      <w:lvlJc w:val="left"/>
      <w:pPr>
        <w:pStyle w:val="821"/>
        <w:ind w:left="0" w:firstLine="0"/>
      </w:pPr>
      <w:rPr>
        <w:rFonts w:hint="eastAsia"/>
      </w:rPr>
    </w:lvl>
    <w:lvl w:ilvl="4">
      <w:start w:val="1"/>
      <w:numFmt w:val="decimal"/>
      <w:isLgl w:val="false"/>
      <w:suff w:val="nothing"/>
      <w:lvlText w:val="%2.%3.%4.%5 "/>
      <w:lvlJc w:val="left"/>
      <w:pPr>
        <w:pStyle w:val="821"/>
        <w:ind w:left="0" w:firstLine="0"/>
      </w:pPr>
      <w:rPr>
        <w:rFonts w:hint="eastAsia"/>
      </w:rPr>
    </w:lvl>
    <w:lvl w:ilvl="5">
      <w:start w:val="1"/>
      <w:numFmt w:val="decimal"/>
      <w:pStyle w:val="1023"/>
      <w:isLgl w:val="false"/>
      <w:suff w:val="nothing"/>
      <w:lvlText w:val=""/>
      <w:lvlJc w:val="left"/>
      <w:pPr>
        <w:pStyle w:val="821"/>
        <w:ind w:left="0" w:firstLine="0"/>
      </w:pPr>
      <w:rPr>
        <w:rFonts w:hint="eastAsia"/>
      </w:rPr>
    </w:lvl>
    <w:lvl w:ilvl="6">
      <w:start w:val="1"/>
      <w:numFmt w:val="decimal"/>
      <w:pStyle w:val="1025"/>
      <w:isLgl w:val="false"/>
      <w:suff w:val="nothing"/>
      <w:lvlText w:val=""/>
      <w:lvlJc w:val="left"/>
      <w:pPr>
        <w:pStyle w:val="821"/>
        <w:ind w:left="0" w:firstLine="0"/>
      </w:pPr>
      <w:rPr>
        <w:rFonts w:hint="eastAsia"/>
      </w:rPr>
    </w:lvl>
    <w:lvl w:ilvl="7">
      <w:start w:val="1"/>
      <w:numFmt w:val="decimal"/>
      <w:pStyle w:val="1027"/>
      <w:isLgl w:val="false"/>
      <w:suff w:val="nothing"/>
      <w:lvlText w:val=""/>
      <w:lvlJc w:val="left"/>
      <w:pPr>
        <w:pStyle w:val="821"/>
        <w:ind w:left="0" w:firstLine="0"/>
      </w:pPr>
      <w:rPr>
        <w:rFonts w:hint="eastAsia"/>
      </w:rPr>
    </w:lvl>
    <w:lvl w:ilvl="8">
      <w:start w:val="1"/>
      <w:numFmt w:val="decimal"/>
      <w:pStyle w:val="1029"/>
      <w:isLgl w:val="false"/>
      <w:suff w:val="nothing"/>
      <w:lvlText w:val=""/>
      <w:lvlJc w:val="left"/>
      <w:pPr>
        <w:pStyle w:val="821"/>
        <w:ind w:left="0" w:firstLine="0"/>
      </w:pPr>
      <w:rPr>
        <w:rFonts w:hint="eastAsia"/>
      </w:rPr>
    </w:lvl>
  </w:abstractNum>
  <w:abstractNum w:abstractNumId="2">
    <w:multiLevelType w:val="hybridMultilevel"/>
    <w:lvl w:ilvl="0">
      <w:start w:val="1"/>
      <w:numFmt w:val="japaneseCounting"/>
      <w:isLgl w:val="false"/>
      <w:suff w:val="tab"/>
      <w:lvlText w:val="%1、"/>
      <w:lvlJc w:val="left"/>
      <w:pPr>
        <w:pStyle w:val="821"/>
        <w:ind w:left="1271" w:hanging="720"/>
      </w:pPr>
    </w:lvl>
    <w:lvl w:ilvl="1">
      <w:start w:val="1"/>
      <w:numFmt w:val="lowerLetter"/>
      <w:isLgl w:val="false"/>
      <w:suff w:val="tab"/>
      <w:lvlText w:val="%2)"/>
      <w:lvlJc w:val="left"/>
      <w:pPr>
        <w:pStyle w:val="821"/>
        <w:ind w:left="1391" w:hanging="420"/>
      </w:pPr>
    </w:lvl>
    <w:lvl w:ilvl="2">
      <w:start w:val="1"/>
      <w:numFmt w:val="lowerRoman"/>
      <w:isLgl w:val="false"/>
      <w:suff w:val="tab"/>
      <w:lvlText w:val="%3."/>
      <w:lvlJc w:val="right"/>
      <w:pPr>
        <w:pStyle w:val="821"/>
        <w:ind w:left="1811" w:hanging="420"/>
      </w:pPr>
    </w:lvl>
    <w:lvl w:ilvl="3">
      <w:start w:val="1"/>
      <w:numFmt w:val="decimal"/>
      <w:isLgl w:val="false"/>
      <w:suff w:val="tab"/>
      <w:lvlText w:val="%4."/>
      <w:lvlJc w:val="left"/>
      <w:pPr>
        <w:pStyle w:val="821"/>
        <w:ind w:left="2231" w:hanging="420"/>
      </w:pPr>
    </w:lvl>
    <w:lvl w:ilvl="4">
      <w:start w:val="1"/>
      <w:numFmt w:val="lowerLetter"/>
      <w:isLgl w:val="false"/>
      <w:suff w:val="tab"/>
      <w:lvlText w:val="%5)"/>
      <w:lvlJc w:val="left"/>
      <w:pPr>
        <w:pStyle w:val="821"/>
        <w:ind w:left="2651" w:hanging="420"/>
      </w:pPr>
    </w:lvl>
    <w:lvl w:ilvl="5">
      <w:start w:val="1"/>
      <w:numFmt w:val="lowerRoman"/>
      <w:isLgl w:val="false"/>
      <w:suff w:val="tab"/>
      <w:lvlText w:val="%6."/>
      <w:lvlJc w:val="right"/>
      <w:pPr>
        <w:pStyle w:val="821"/>
        <w:ind w:left="3071" w:hanging="420"/>
      </w:pPr>
    </w:lvl>
    <w:lvl w:ilvl="6">
      <w:start w:val="1"/>
      <w:numFmt w:val="decimal"/>
      <w:isLgl w:val="false"/>
      <w:suff w:val="tab"/>
      <w:lvlText w:val="%7."/>
      <w:lvlJc w:val="left"/>
      <w:pPr>
        <w:pStyle w:val="821"/>
        <w:ind w:left="3491" w:hanging="420"/>
      </w:pPr>
    </w:lvl>
    <w:lvl w:ilvl="7">
      <w:start w:val="1"/>
      <w:numFmt w:val="lowerLetter"/>
      <w:isLgl w:val="false"/>
      <w:suff w:val="tab"/>
      <w:lvlText w:val="%8)"/>
      <w:lvlJc w:val="left"/>
      <w:pPr>
        <w:pStyle w:val="821"/>
        <w:ind w:left="3911" w:hanging="420"/>
      </w:pPr>
    </w:lvl>
    <w:lvl w:ilvl="8">
      <w:start w:val="1"/>
      <w:numFmt w:val="lowerRoman"/>
      <w:isLgl w:val="false"/>
      <w:suff w:val="tab"/>
      <w:lvlText w:val="%9."/>
      <w:lvlJc w:val="right"/>
      <w:pPr>
        <w:pStyle w:val="821"/>
        <w:ind w:left="4331" w:hanging="420"/>
      </w:pPr>
    </w:lvl>
  </w:abstractNum>
  <w:abstractNum w:abstractNumId="3">
    <w:multiLevelType w:val="hybridMultilevel"/>
    <w:lvl w:ilvl="0">
      <w:start w:val="1"/>
      <w:numFmt w:val="decimal"/>
      <w:pStyle w:val="1083"/>
      <w:isLgl w:val="false"/>
      <w:suff w:val="tab"/>
      <w:lvlText w:val="%1."/>
      <w:lvlJc w:val="left"/>
      <w:pPr>
        <w:pStyle w:val="821"/>
        <w:ind w:left="709" w:hanging="709"/>
        <w:tabs>
          <w:tab w:val="num" w:pos="709" w:leader="none"/>
        </w:tabs>
      </w:pPr>
      <w:rPr>
        <w:rFonts w:hint="eastAsia"/>
      </w:rPr>
    </w:lvl>
    <w:lvl w:ilvl="1">
      <w:start w:val="1"/>
      <w:numFmt w:val="decimal"/>
      <w:isLgl w:val="false"/>
      <w:suff w:val="tab"/>
      <w:lvlText w:val="%1.%2"/>
      <w:lvlJc w:val="left"/>
      <w:pPr>
        <w:pStyle w:val="821"/>
        <w:ind w:left="709" w:hanging="709"/>
        <w:tabs>
          <w:tab w:val="num" w:pos="709" w:leader="none"/>
        </w:tabs>
      </w:pPr>
      <w:rPr>
        <w:rFonts w:hint="eastAsia"/>
      </w:rPr>
    </w:lvl>
    <w:lvl w:ilvl="2">
      <w:start w:val="1"/>
      <w:numFmt w:val="decimal"/>
      <w:isLgl w:val="false"/>
      <w:suff w:val="tab"/>
      <w:lvlText w:val="%1.%2.%3."/>
      <w:lvlJc w:val="left"/>
      <w:pPr>
        <w:pStyle w:val="821"/>
        <w:ind w:left="425" w:hanging="425"/>
        <w:tabs>
          <w:tab w:val="num" w:pos="425" w:leader="none"/>
        </w:tabs>
      </w:pPr>
      <w:rPr>
        <w:rFonts w:hint="eastAsia"/>
      </w:rPr>
    </w:lvl>
    <w:lvl w:ilvl="3">
      <w:start w:val="1"/>
      <w:numFmt w:val="decimal"/>
      <w:isLgl w:val="false"/>
      <w:suff w:val="tab"/>
      <w:lvlText w:val="%1.%2.%3.%4."/>
      <w:lvlJc w:val="left"/>
      <w:pPr>
        <w:pStyle w:val="821"/>
        <w:ind w:left="851" w:hanging="851"/>
        <w:tabs>
          <w:tab w:val="num" w:pos="851" w:leader="none"/>
        </w:tabs>
      </w:pPr>
      <w:rPr>
        <w:rFonts w:hint="eastAsia"/>
      </w:rPr>
    </w:lvl>
    <w:lvl w:ilvl="4">
      <w:start w:val="1"/>
      <w:numFmt w:val="decimal"/>
      <w:isLgl w:val="false"/>
      <w:suff w:val="tab"/>
      <w:lvlText w:val="%1.%2.%3.%4.%5."/>
      <w:lvlJc w:val="left"/>
      <w:pPr>
        <w:pStyle w:val="821"/>
        <w:ind w:left="992" w:hanging="992"/>
        <w:tabs>
          <w:tab w:val="num" w:pos="992" w:leader="none"/>
        </w:tabs>
      </w:pPr>
      <w:rPr>
        <w:rFonts w:hint="eastAsia"/>
      </w:rPr>
    </w:lvl>
    <w:lvl w:ilvl="5">
      <w:start w:val="1"/>
      <w:numFmt w:val="decimal"/>
      <w:isLgl w:val="false"/>
      <w:suff w:val="tab"/>
      <w:lvlText w:val="%1.%2.%3.%4.%5.%6."/>
      <w:lvlJc w:val="left"/>
      <w:pPr>
        <w:pStyle w:val="821"/>
        <w:ind w:left="1134" w:hanging="1134"/>
        <w:tabs>
          <w:tab w:val="num" w:pos="1134" w:leader="none"/>
        </w:tabs>
      </w:pPr>
      <w:rPr>
        <w:rFonts w:hint="eastAsia"/>
      </w:rPr>
    </w:lvl>
    <w:lvl w:ilvl="6">
      <w:start w:val="1"/>
      <w:numFmt w:val="decimal"/>
      <w:isLgl w:val="false"/>
      <w:suff w:val="tab"/>
      <w:lvlText w:val="%1.%2.%3.%4.%5.%6.%7."/>
      <w:lvlJc w:val="left"/>
      <w:pPr>
        <w:pStyle w:val="821"/>
        <w:ind w:left="1276" w:hanging="1276"/>
        <w:tabs>
          <w:tab w:val="num" w:pos="1276" w:leader="none"/>
        </w:tabs>
      </w:pPr>
      <w:rPr>
        <w:rFonts w:hint="eastAsia"/>
      </w:rPr>
    </w:lvl>
    <w:lvl w:ilvl="7">
      <w:start w:val="1"/>
      <w:numFmt w:val="decimal"/>
      <w:isLgl w:val="false"/>
      <w:suff w:val="tab"/>
      <w:lvlText w:val="%1.%2.%3.%4.%5.%6.%7.%8."/>
      <w:lvlJc w:val="left"/>
      <w:pPr>
        <w:pStyle w:val="821"/>
        <w:ind w:left="1418" w:hanging="1418"/>
        <w:tabs>
          <w:tab w:val="num" w:pos="1418" w:leader="none"/>
        </w:tabs>
      </w:pPr>
      <w:rPr>
        <w:rFonts w:hint="eastAsia"/>
      </w:rPr>
    </w:lvl>
    <w:lvl w:ilvl="8">
      <w:start w:val="1"/>
      <w:numFmt w:val="decimal"/>
      <w:isLgl w:val="false"/>
      <w:suff w:val="tab"/>
      <w:lvlText w:val="%1.%2.%3.%4.%5.%6.%7.%8.%9."/>
      <w:lvlJc w:val="left"/>
      <w:pPr>
        <w:pStyle w:val="821"/>
        <w:ind w:left="1559" w:hanging="1559"/>
        <w:tabs>
          <w:tab w:val="num"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821"/>
    <w:next w:val="821"/>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821"/>
    <w:next w:val="821"/>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821"/>
    <w:next w:val="821"/>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821"/>
    <w:next w:val="821"/>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821"/>
    <w:next w:val="821"/>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821"/>
    <w:next w:val="821"/>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821"/>
    <w:next w:val="821"/>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821"/>
    <w:next w:val="821"/>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821"/>
    <w:next w:val="821"/>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821"/>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821"/>
    <w:next w:val="821"/>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821"/>
    <w:next w:val="821"/>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821"/>
    <w:next w:val="821"/>
    <w:link w:val="795"/>
    <w:uiPriority w:val="29"/>
    <w:qFormat/>
    <w:pPr>
      <w:ind w:left="720" w:right="720"/>
    </w:pPr>
    <w:rPr>
      <w:i/>
    </w:rPr>
  </w:style>
  <w:style w:type="character" w:styleId="795">
    <w:name w:val="Quote Char"/>
    <w:link w:val="794"/>
    <w:uiPriority w:val="29"/>
    <w:rPr>
      <w:i/>
    </w:rPr>
  </w:style>
  <w:style w:type="paragraph" w:styleId="796">
    <w:name w:val="Intense Quote"/>
    <w:basedOn w:val="821"/>
    <w:next w:val="821"/>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821"/>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821"/>
    <w:link w:val="877"/>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821"/>
    <w:next w:val="821"/>
    <w:uiPriority w:val="35"/>
    <w:semiHidden/>
    <w:unhideWhenUsed/>
    <w:qFormat/>
    <w:pPr>
      <w:spacing w:line="276" w:lineRule="auto"/>
    </w:pPr>
    <w:rPr>
      <w:b/>
      <w:bCs/>
      <w:color w:val="4f81bd" w:themeColor="accent1"/>
      <w:sz w:val="18"/>
      <w:szCs w:val="18"/>
    </w:rPr>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Hyperlink"/>
    <w:uiPriority w:val="99"/>
    <w:unhideWhenUsed/>
    <w:rPr>
      <w:color w:val="0000ff" w:themeColor="hyperlink"/>
      <w:u w:val="single"/>
    </w:rPr>
  </w:style>
  <w:style w:type="paragraph" w:styleId="805">
    <w:name w:val="footnote text"/>
    <w:basedOn w:val="821"/>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basedOn w:val="821"/>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basedOn w:val="821"/>
    <w:next w:val="821"/>
    <w:uiPriority w:val="39"/>
    <w:unhideWhenUsed/>
    <w:pPr>
      <w:ind w:left="0" w:right="0" w:firstLine="0"/>
      <w:spacing w:after="57"/>
    </w:pPr>
  </w:style>
  <w:style w:type="paragraph" w:styleId="812">
    <w:name w:val="toc 2"/>
    <w:basedOn w:val="821"/>
    <w:next w:val="821"/>
    <w:uiPriority w:val="39"/>
    <w:unhideWhenUsed/>
    <w:pPr>
      <w:ind w:left="283" w:right="0" w:firstLine="0"/>
      <w:spacing w:after="57"/>
    </w:pPr>
  </w:style>
  <w:style w:type="paragraph" w:styleId="813">
    <w:name w:val="toc 3"/>
    <w:basedOn w:val="821"/>
    <w:next w:val="821"/>
    <w:uiPriority w:val="39"/>
    <w:unhideWhenUsed/>
    <w:pPr>
      <w:ind w:left="567" w:right="0" w:firstLine="0"/>
      <w:spacing w:after="57"/>
    </w:pPr>
  </w:style>
  <w:style w:type="paragraph" w:styleId="814">
    <w:name w:val="toc 4"/>
    <w:basedOn w:val="821"/>
    <w:next w:val="821"/>
    <w:uiPriority w:val="39"/>
    <w:unhideWhenUsed/>
    <w:pPr>
      <w:ind w:left="850" w:right="0" w:firstLine="0"/>
      <w:spacing w:after="57"/>
    </w:pPr>
  </w:style>
  <w:style w:type="paragraph" w:styleId="815">
    <w:name w:val="toc 5"/>
    <w:basedOn w:val="821"/>
    <w:next w:val="821"/>
    <w:uiPriority w:val="39"/>
    <w:unhideWhenUsed/>
    <w:pPr>
      <w:ind w:left="1134" w:right="0" w:firstLine="0"/>
      <w:spacing w:after="57"/>
    </w:pPr>
  </w:style>
  <w:style w:type="paragraph" w:styleId="816">
    <w:name w:val="toc 6"/>
    <w:basedOn w:val="821"/>
    <w:next w:val="821"/>
    <w:uiPriority w:val="39"/>
    <w:unhideWhenUsed/>
    <w:pPr>
      <w:ind w:left="1417" w:right="0" w:firstLine="0"/>
      <w:spacing w:after="57"/>
    </w:pPr>
  </w:style>
  <w:style w:type="paragraph" w:styleId="817">
    <w:name w:val="toc 7"/>
    <w:basedOn w:val="821"/>
    <w:next w:val="821"/>
    <w:uiPriority w:val="39"/>
    <w:unhideWhenUsed/>
    <w:pPr>
      <w:ind w:left="1701" w:right="0" w:firstLine="0"/>
      <w:spacing w:after="57"/>
    </w:pPr>
  </w:style>
  <w:style w:type="paragraph" w:styleId="818">
    <w:name w:val="toc 8"/>
    <w:basedOn w:val="821"/>
    <w:next w:val="821"/>
    <w:uiPriority w:val="39"/>
    <w:unhideWhenUsed/>
    <w:pPr>
      <w:ind w:left="1984" w:right="0" w:firstLine="0"/>
      <w:spacing w:after="57"/>
    </w:pPr>
  </w:style>
  <w:style w:type="paragraph" w:styleId="819">
    <w:name w:val="toc 9"/>
    <w:basedOn w:val="821"/>
    <w:next w:val="821"/>
    <w:uiPriority w:val="39"/>
    <w:unhideWhenUsed/>
    <w:pPr>
      <w:ind w:left="2268" w:right="0" w:firstLine="0"/>
      <w:spacing w:after="57"/>
    </w:pPr>
  </w:style>
  <w:style w:type="paragraph" w:styleId="820">
    <w:name w:val="table of figures"/>
    <w:basedOn w:val="821"/>
    <w:next w:val="821"/>
    <w:uiPriority w:val="99"/>
    <w:unhideWhenUsed/>
    <w:pPr>
      <w:spacing w:after="0" w:afterAutospacing="0"/>
    </w:pPr>
  </w:style>
  <w:style w:type="paragraph" w:styleId="821" w:default="1">
    <w:name w:val="Normal"/>
    <w:next w:val="821"/>
    <w:link w:val="821"/>
    <w:qFormat/>
    <w:pPr>
      <w:jc w:val="both"/>
      <w:widowControl w:val="off"/>
    </w:pPr>
    <w:rPr>
      <w:rFonts w:ascii="Calibri" w:hAnsi="Calibri"/>
      <w:sz w:val="21"/>
      <w:szCs w:val="22"/>
      <w:lang w:val="en-US" w:eastAsia="zh-CN" w:bidi="ar-SA"/>
    </w:rPr>
  </w:style>
  <w:style w:type="paragraph" w:styleId="822">
    <w:name w:val="标题 1"/>
    <w:basedOn w:val="821"/>
    <w:next w:val="821"/>
    <w:link w:val="833"/>
    <w:uiPriority w:val="9"/>
    <w:qFormat/>
    <w:pPr>
      <w:keepLines/>
      <w:keepNext/>
      <w:spacing w:before="480" w:after="200"/>
      <w:outlineLvl w:val="0"/>
    </w:pPr>
    <w:rPr>
      <w:rFonts w:ascii="Arial" w:hAnsi="Arial" w:eastAsia="Arial" w:cs="Arial"/>
      <w:sz w:val="40"/>
      <w:szCs w:val="40"/>
    </w:rPr>
  </w:style>
  <w:style w:type="paragraph" w:styleId="823">
    <w:name w:val="标题 2"/>
    <w:basedOn w:val="821"/>
    <w:next w:val="821"/>
    <w:link w:val="834"/>
    <w:uiPriority w:val="9"/>
    <w:qFormat/>
    <w:pPr>
      <w:keepLines/>
      <w:keepNext/>
      <w:spacing w:before="360" w:after="200"/>
      <w:outlineLvl w:val="1"/>
    </w:pPr>
    <w:rPr>
      <w:rFonts w:ascii="Arial" w:hAnsi="Arial" w:eastAsia="Arial" w:cs="Arial"/>
      <w:sz w:val="34"/>
    </w:rPr>
  </w:style>
  <w:style w:type="paragraph" w:styleId="824">
    <w:name w:val="标题 3"/>
    <w:basedOn w:val="821"/>
    <w:next w:val="821"/>
    <w:link w:val="835"/>
    <w:uiPriority w:val="9"/>
    <w:qFormat/>
    <w:pPr>
      <w:keepLines/>
      <w:keepNext/>
      <w:spacing w:before="320" w:after="200"/>
      <w:outlineLvl w:val="2"/>
    </w:pPr>
    <w:rPr>
      <w:rFonts w:ascii="Arial" w:hAnsi="Arial" w:eastAsia="Arial" w:cs="Arial"/>
      <w:sz w:val="30"/>
      <w:szCs w:val="30"/>
    </w:rPr>
  </w:style>
  <w:style w:type="paragraph" w:styleId="825">
    <w:name w:val="标题 4"/>
    <w:basedOn w:val="821"/>
    <w:next w:val="821"/>
    <w:link w:val="836"/>
    <w:uiPriority w:val="9"/>
    <w:qFormat/>
    <w:pPr>
      <w:keepLines/>
      <w:keepNext/>
      <w:spacing w:before="320" w:after="200"/>
      <w:outlineLvl w:val="3"/>
    </w:pPr>
    <w:rPr>
      <w:rFonts w:ascii="Arial" w:hAnsi="Arial" w:eastAsia="Arial" w:cs="Arial"/>
      <w:b/>
      <w:bCs/>
      <w:sz w:val="26"/>
      <w:szCs w:val="26"/>
    </w:rPr>
  </w:style>
  <w:style w:type="paragraph" w:styleId="826">
    <w:name w:val="标题 5"/>
    <w:basedOn w:val="821"/>
    <w:next w:val="821"/>
    <w:link w:val="837"/>
    <w:uiPriority w:val="9"/>
    <w:qFormat/>
    <w:pPr>
      <w:keepLines/>
      <w:keepNext/>
      <w:spacing w:before="320" w:after="200"/>
      <w:outlineLvl w:val="4"/>
    </w:pPr>
    <w:rPr>
      <w:rFonts w:ascii="Arial" w:hAnsi="Arial" w:eastAsia="Arial" w:cs="Arial"/>
      <w:b/>
      <w:bCs/>
      <w:sz w:val="24"/>
      <w:szCs w:val="24"/>
    </w:rPr>
  </w:style>
  <w:style w:type="paragraph" w:styleId="827">
    <w:name w:val="标题 6"/>
    <w:basedOn w:val="821"/>
    <w:next w:val="821"/>
    <w:link w:val="838"/>
    <w:uiPriority w:val="9"/>
    <w:qFormat/>
    <w:pPr>
      <w:keepLines/>
      <w:keepNext/>
      <w:spacing w:before="320" w:after="200"/>
      <w:outlineLvl w:val="5"/>
    </w:pPr>
    <w:rPr>
      <w:rFonts w:ascii="Arial" w:hAnsi="Arial" w:eastAsia="Arial" w:cs="Arial"/>
      <w:b/>
      <w:bCs/>
      <w:sz w:val="22"/>
      <w:szCs w:val="22"/>
    </w:rPr>
  </w:style>
  <w:style w:type="paragraph" w:styleId="828">
    <w:name w:val="标题 7"/>
    <w:basedOn w:val="821"/>
    <w:next w:val="821"/>
    <w:link w:val="839"/>
    <w:uiPriority w:val="9"/>
    <w:qFormat/>
    <w:pPr>
      <w:keepLines/>
      <w:keepNext/>
      <w:spacing w:before="320" w:after="200"/>
      <w:outlineLvl w:val="6"/>
    </w:pPr>
    <w:rPr>
      <w:rFonts w:ascii="Arial" w:hAnsi="Arial" w:eastAsia="Arial" w:cs="Arial"/>
      <w:b/>
      <w:bCs/>
      <w:i/>
      <w:iCs/>
      <w:sz w:val="22"/>
      <w:szCs w:val="22"/>
    </w:rPr>
  </w:style>
  <w:style w:type="paragraph" w:styleId="829">
    <w:name w:val="标题 8"/>
    <w:basedOn w:val="821"/>
    <w:next w:val="821"/>
    <w:link w:val="840"/>
    <w:uiPriority w:val="9"/>
    <w:qFormat/>
    <w:pPr>
      <w:keepLines/>
      <w:keepNext/>
      <w:spacing w:before="320" w:after="200"/>
      <w:outlineLvl w:val="7"/>
    </w:pPr>
    <w:rPr>
      <w:rFonts w:ascii="Arial" w:hAnsi="Arial" w:eastAsia="Arial" w:cs="Arial"/>
      <w:i/>
      <w:iCs/>
      <w:sz w:val="22"/>
      <w:szCs w:val="22"/>
    </w:rPr>
  </w:style>
  <w:style w:type="paragraph" w:styleId="830">
    <w:name w:val="标题 9"/>
    <w:basedOn w:val="821"/>
    <w:next w:val="821"/>
    <w:link w:val="841"/>
    <w:uiPriority w:val="9"/>
    <w:qFormat/>
    <w:pPr>
      <w:keepLines/>
      <w:keepNext/>
      <w:spacing w:before="320" w:after="200"/>
      <w:outlineLvl w:val="8"/>
    </w:pPr>
    <w:rPr>
      <w:rFonts w:ascii="Arial" w:hAnsi="Arial" w:eastAsia="Arial" w:cs="Arial"/>
      <w:i/>
      <w:iCs/>
      <w:sz w:val="21"/>
      <w:szCs w:val="21"/>
    </w:rPr>
  </w:style>
  <w:style w:type="character" w:styleId="831">
    <w:name w:val="默认段落字体"/>
    <w:next w:val="831"/>
    <w:link w:val="821"/>
    <w:uiPriority w:val="1"/>
    <w:unhideWhenUsed/>
  </w:style>
  <w:style w:type="table" w:styleId="832">
    <w:name w:val="普通表格"/>
    <w:next w:val="832"/>
    <w:link w:val="821"/>
    <w:uiPriority w:val="99"/>
    <w:unhideWhenUsed/>
    <w:tblPr/>
  </w:style>
  <w:style w:type="character" w:styleId="833">
    <w:name w:val="标题 1 Char1"/>
    <w:next w:val="833"/>
    <w:link w:val="822"/>
    <w:uiPriority w:val="9"/>
    <w:rPr>
      <w:rFonts w:ascii="Arial" w:hAnsi="Arial" w:eastAsia="Arial" w:cs="Arial"/>
      <w:sz w:val="40"/>
      <w:szCs w:val="40"/>
    </w:rPr>
  </w:style>
  <w:style w:type="character" w:styleId="834">
    <w:name w:val="标题 2 Char1"/>
    <w:next w:val="834"/>
    <w:link w:val="823"/>
    <w:uiPriority w:val="9"/>
    <w:rPr>
      <w:rFonts w:ascii="Arial" w:hAnsi="Arial" w:eastAsia="Arial" w:cs="Arial"/>
      <w:sz w:val="34"/>
    </w:rPr>
  </w:style>
  <w:style w:type="character" w:styleId="835">
    <w:name w:val="标题 3 Char1"/>
    <w:next w:val="835"/>
    <w:link w:val="824"/>
    <w:uiPriority w:val="9"/>
    <w:rPr>
      <w:rFonts w:ascii="Arial" w:hAnsi="Arial" w:eastAsia="Arial" w:cs="Arial"/>
      <w:sz w:val="30"/>
      <w:szCs w:val="30"/>
    </w:rPr>
  </w:style>
  <w:style w:type="character" w:styleId="836">
    <w:name w:val="标题 4 Char1"/>
    <w:next w:val="836"/>
    <w:link w:val="825"/>
    <w:uiPriority w:val="9"/>
    <w:rPr>
      <w:rFonts w:ascii="Arial" w:hAnsi="Arial" w:eastAsia="Arial" w:cs="Arial"/>
      <w:b/>
      <w:bCs/>
      <w:sz w:val="26"/>
      <w:szCs w:val="26"/>
    </w:rPr>
  </w:style>
  <w:style w:type="character" w:styleId="837">
    <w:name w:val="标题 5 Char1"/>
    <w:next w:val="837"/>
    <w:link w:val="826"/>
    <w:uiPriority w:val="9"/>
    <w:rPr>
      <w:rFonts w:ascii="Arial" w:hAnsi="Arial" w:eastAsia="Arial" w:cs="Arial"/>
      <w:b/>
      <w:bCs/>
      <w:sz w:val="24"/>
      <w:szCs w:val="24"/>
    </w:rPr>
  </w:style>
  <w:style w:type="character" w:styleId="838">
    <w:name w:val="标题 6 Char1"/>
    <w:next w:val="838"/>
    <w:link w:val="827"/>
    <w:uiPriority w:val="9"/>
    <w:rPr>
      <w:rFonts w:ascii="Arial" w:hAnsi="Arial" w:eastAsia="Arial" w:cs="Arial"/>
      <w:b/>
      <w:bCs/>
      <w:sz w:val="22"/>
      <w:szCs w:val="22"/>
    </w:rPr>
  </w:style>
  <w:style w:type="character" w:styleId="839">
    <w:name w:val="标题 7 Char1"/>
    <w:next w:val="839"/>
    <w:link w:val="828"/>
    <w:uiPriority w:val="9"/>
    <w:rPr>
      <w:rFonts w:ascii="Arial" w:hAnsi="Arial" w:eastAsia="Arial" w:cs="Arial"/>
      <w:b/>
      <w:bCs/>
      <w:i/>
      <w:iCs/>
      <w:sz w:val="22"/>
      <w:szCs w:val="22"/>
    </w:rPr>
  </w:style>
  <w:style w:type="character" w:styleId="840">
    <w:name w:val="标题 8 Char1"/>
    <w:next w:val="840"/>
    <w:link w:val="829"/>
    <w:uiPriority w:val="9"/>
    <w:rPr>
      <w:rFonts w:ascii="Arial" w:hAnsi="Arial" w:eastAsia="Arial" w:cs="Arial"/>
      <w:i/>
      <w:iCs/>
      <w:sz w:val="22"/>
      <w:szCs w:val="22"/>
    </w:rPr>
  </w:style>
  <w:style w:type="character" w:styleId="841">
    <w:name w:val="标题 9 Char1"/>
    <w:next w:val="841"/>
    <w:link w:val="830"/>
    <w:uiPriority w:val="9"/>
    <w:rPr>
      <w:rFonts w:ascii="Arial" w:hAnsi="Arial" w:eastAsia="Arial" w:cs="Arial"/>
      <w:i/>
      <w:iCs/>
      <w:sz w:val="21"/>
      <w:szCs w:val="21"/>
    </w:rPr>
  </w:style>
  <w:style w:type="paragraph" w:styleId="842">
    <w:name w:val="目录 7"/>
    <w:basedOn w:val="821"/>
    <w:next w:val="821"/>
    <w:link w:val="821"/>
    <w:uiPriority w:val="39"/>
    <w:unhideWhenUsed/>
    <w:pPr>
      <w:ind w:left="1701" w:right="0" w:firstLine="0"/>
      <w:spacing w:after="57"/>
    </w:pPr>
  </w:style>
  <w:style w:type="paragraph" w:styleId="843">
    <w:name w:val="题注"/>
    <w:basedOn w:val="821"/>
    <w:next w:val="821"/>
    <w:link w:val="821"/>
    <w:uiPriority w:val="35"/>
    <w:qFormat/>
    <w:pPr>
      <w:spacing w:line="276" w:lineRule="auto"/>
    </w:pPr>
    <w:rPr>
      <w:b/>
      <w:bCs/>
      <w:color w:val="4f81bd"/>
      <w:sz w:val="18"/>
      <w:szCs w:val="18"/>
    </w:rPr>
  </w:style>
  <w:style w:type="paragraph" w:styleId="844">
    <w:name w:val="批注文字"/>
    <w:basedOn w:val="821"/>
    <w:next w:val="844"/>
    <w:link w:val="821"/>
    <w:uiPriority w:val="99"/>
    <w:unhideWhenUsed/>
    <w:qFormat/>
    <w:pPr>
      <w:jc w:val="left"/>
    </w:pPr>
  </w:style>
  <w:style w:type="paragraph" w:styleId="845">
    <w:name w:val="正文文本"/>
    <w:basedOn w:val="821"/>
    <w:next w:val="845"/>
    <w:link w:val="821"/>
    <w:unhideWhenUsed/>
    <w:qFormat/>
    <w:pPr>
      <w:spacing w:after="120"/>
    </w:pPr>
  </w:style>
  <w:style w:type="paragraph" w:styleId="846">
    <w:name w:val="正文文本缩进"/>
    <w:basedOn w:val="821"/>
    <w:next w:val="821"/>
    <w:link w:val="821"/>
    <w:qFormat/>
    <w:pPr>
      <w:ind w:firstLine="645"/>
    </w:pPr>
    <w:rPr>
      <w:rFonts w:ascii="楷体_GB2312" w:eastAsia="楷体_GB2312"/>
      <w:sz w:val="32"/>
      <w:szCs w:val="20"/>
    </w:rPr>
  </w:style>
  <w:style w:type="paragraph" w:styleId="847">
    <w:name w:val="目录 5"/>
    <w:basedOn w:val="821"/>
    <w:next w:val="821"/>
    <w:link w:val="821"/>
    <w:uiPriority w:val="39"/>
    <w:unhideWhenUsed/>
    <w:pPr>
      <w:ind w:left="1134" w:right="0" w:firstLine="0"/>
      <w:spacing w:after="57"/>
    </w:pPr>
  </w:style>
  <w:style w:type="paragraph" w:styleId="848">
    <w:name w:val="目录 3"/>
    <w:basedOn w:val="821"/>
    <w:next w:val="821"/>
    <w:link w:val="821"/>
    <w:uiPriority w:val="39"/>
    <w:unhideWhenUsed/>
    <w:pPr>
      <w:ind w:left="567" w:right="0" w:firstLine="0"/>
      <w:spacing w:after="57"/>
    </w:pPr>
  </w:style>
  <w:style w:type="paragraph" w:styleId="849">
    <w:name w:val="目录 8"/>
    <w:basedOn w:val="821"/>
    <w:next w:val="821"/>
    <w:link w:val="821"/>
    <w:uiPriority w:val="39"/>
    <w:unhideWhenUsed/>
    <w:pPr>
      <w:ind w:left="1984" w:right="0" w:firstLine="0"/>
      <w:spacing w:after="57"/>
    </w:pPr>
  </w:style>
  <w:style w:type="paragraph" w:styleId="850">
    <w:name w:val="尾注文本"/>
    <w:basedOn w:val="821"/>
    <w:next w:val="850"/>
    <w:link w:val="851"/>
    <w:uiPriority w:val="99"/>
    <w:unhideWhenUsed/>
    <w:pPr>
      <w:spacing w:after="0" w:line="240" w:lineRule="auto"/>
    </w:pPr>
    <w:rPr>
      <w:sz w:val="20"/>
    </w:rPr>
  </w:style>
  <w:style w:type="character" w:styleId="851">
    <w:name w:val="尾注文本 Char"/>
    <w:next w:val="851"/>
    <w:link w:val="850"/>
    <w:uiPriority w:val="99"/>
    <w:rPr>
      <w:sz w:val="20"/>
    </w:rPr>
  </w:style>
  <w:style w:type="paragraph" w:styleId="852">
    <w:name w:val="批注框文本"/>
    <w:basedOn w:val="821"/>
    <w:next w:val="852"/>
    <w:link w:val="853"/>
    <w:uiPriority w:val="99"/>
    <w:unhideWhenUsed/>
    <w:rPr>
      <w:sz w:val="18"/>
      <w:szCs w:val="18"/>
    </w:rPr>
  </w:style>
  <w:style w:type="character" w:styleId="853">
    <w:name w:val="批注框文本 Char1"/>
    <w:next w:val="853"/>
    <w:link w:val="852"/>
    <w:uiPriority w:val="99"/>
    <w:semiHidden/>
    <w:rPr>
      <w:rFonts w:ascii="Calibri" w:hAnsi="Calibri"/>
      <w:sz w:val="18"/>
      <w:szCs w:val="18"/>
    </w:rPr>
  </w:style>
  <w:style w:type="paragraph" w:styleId="854">
    <w:name w:val="页脚"/>
    <w:basedOn w:val="821"/>
    <w:next w:val="854"/>
    <w:link w:val="855"/>
    <w:uiPriority w:val="99"/>
    <w:unhideWhenUsed/>
    <w:pPr>
      <w:spacing w:after="0" w:line="240" w:lineRule="auto"/>
      <w:tabs>
        <w:tab w:val="center" w:pos="7143" w:leader="none"/>
        <w:tab w:val="right" w:pos="14287" w:leader="none"/>
      </w:tabs>
    </w:pPr>
  </w:style>
  <w:style w:type="character" w:styleId="855">
    <w:name w:val="页脚 Char1"/>
    <w:next w:val="855"/>
    <w:link w:val="854"/>
    <w:uiPriority w:val="99"/>
  </w:style>
  <w:style w:type="paragraph" w:styleId="856">
    <w:name w:val="页眉"/>
    <w:basedOn w:val="821"/>
    <w:next w:val="856"/>
    <w:link w:val="857"/>
    <w:uiPriority w:val="99"/>
    <w:unhideWhenUsed/>
    <w:pPr>
      <w:spacing w:after="0" w:line="240" w:lineRule="auto"/>
      <w:tabs>
        <w:tab w:val="center" w:pos="7143" w:leader="none"/>
        <w:tab w:val="right" w:pos="14287" w:leader="none"/>
      </w:tabs>
    </w:pPr>
  </w:style>
  <w:style w:type="character" w:styleId="857">
    <w:name w:val="页眉 Char1"/>
    <w:next w:val="857"/>
    <w:link w:val="856"/>
    <w:uiPriority w:val="99"/>
  </w:style>
  <w:style w:type="paragraph" w:styleId="858">
    <w:name w:val="目录 1"/>
    <w:basedOn w:val="821"/>
    <w:next w:val="821"/>
    <w:link w:val="821"/>
    <w:uiPriority w:val="39"/>
    <w:unhideWhenUsed/>
    <w:pPr>
      <w:ind w:left="0" w:right="0" w:firstLine="0"/>
      <w:spacing w:after="57"/>
    </w:pPr>
  </w:style>
  <w:style w:type="paragraph" w:styleId="859">
    <w:name w:val="目录 4"/>
    <w:basedOn w:val="821"/>
    <w:next w:val="821"/>
    <w:link w:val="821"/>
    <w:uiPriority w:val="39"/>
    <w:unhideWhenUsed/>
    <w:pPr>
      <w:ind w:left="850" w:right="0" w:firstLine="0"/>
      <w:spacing w:after="57"/>
    </w:pPr>
  </w:style>
  <w:style w:type="paragraph" w:styleId="860">
    <w:name w:val="副标题"/>
    <w:basedOn w:val="821"/>
    <w:next w:val="821"/>
    <w:link w:val="861"/>
    <w:uiPriority w:val="11"/>
    <w:qFormat/>
    <w:pPr>
      <w:spacing w:before="200" w:after="200"/>
    </w:pPr>
    <w:rPr>
      <w:sz w:val="24"/>
      <w:szCs w:val="24"/>
    </w:rPr>
  </w:style>
  <w:style w:type="character" w:styleId="861">
    <w:name w:val="副标题 Char"/>
    <w:next w:val="861"/>
    <w:link w:val="860"/>
    <w:uiPriority w:val="11"/>
    <w:rPr>
      <w:sz w:val="24"/>
      <w:szCs w:val="24"/>
    </w:rPr>
  </w:style>
  <w:style w:type="paragraph" w:styleId="862">
    <w:name w:val="脚注文本"/>
    <w:basedOn w:val="821"/>
    <w:next w:val="862"/>
    <w:link w:val="863"/>
    <w:uiPriority w:val="99"/>
    <w:unhideWhenUsed/>
    <w:pPr>
      <w:spacing w:after="40" w:line="240" w:lineRule="auto"/>
    </w:pPr>
    <w:rPr>
      <w:sz w:val="18"/>
    </w:rPr>
  </w:style>
  <w:style w:type="character" w:styleId="863">
    <w:name w:val="脚注文本 Char"/>
    <w:next w:val="863"/>
    <w:link w:val="862"/>
    <w:uiPriority w:val="99"/>
    <w:rPr>
      <w:sz w:val="18"/>
    </w:rPr>
  </w:style>
  <w:style w:type="paragraph" w:styleId="864">
    <w:name w:val="目录 6"/>
    <w:basedOn w:val="821"/>
    <w:next w:val="821"/>
    <w:link w:val="821"/>
    <w:uiPriority w:val="39"/>
    <w:unhideWhenUsed/>
    <w:pPr>
      <w:ind w:left="1417" w:right="0" w:firstLine="0"/>
      <w:spacing w:after="57"/>
    </w:pPr>
  </w:style>
  <w:style w:type="paragraph" w:styleId="865">
    <w:name w:val="正文文本缩进 3"/>
    <w:basedOn w:val="821"/>
    <w:next w:val="865"/>
    <w:link w:val="821"/>
    <w:qFormat/>
    <w:pPr>
      <w:ind w:firstLine="480"/>
      <w:spacing w:line="360" w:lineRule="auto"/>
      <w:tabs>
        <w:tab w:val="left" w:pos="2112" w:leader="none"/>
      </w:tabs>
    </w:pPr>
    <w:rPr>
      <w:sz w:val="24"/>
    </w:rPr>
  </w:style>
  <w:style w:type="paragraph" w:styleId="866">
    <w:name w:val="图表目录"/>
    <w:basedOn w:val="821"/>
    <w:next w:val="821"/>
    <w:link w:val="821"/>
    <w:uiPriority w:val="99"/>
    <w:unhideWhenUsed/>
    <w:pPr>
      <w:spacing w:after="0" w:afterAutospacing="0"/>
    </w:pPr>
  </w:style>
  <w:style w:type="paragraph" w:styleId="867">
    <w:name w:val="目录 2"/>
    <w:basedOn w:val="821"/>
    <w:next w:val="821"/>
    <w:link w:val="821"/>
    <w:uiPriority w:val="39"/>
    <w:unhideWhenUsed/>
    <w:pPr>
      <w:ind w:left="283" w:right="0" w:firstLine="0"/>
      <w:spacing w:after="57"/>
    </w:pPr>
  </w:style>
  <w:style w:type="paragraph" w:styleId="868">
    <w:name w:val="目录 9"/>
    <w:basedOn w:val="821"/>
    <w:next w:val="821"/>
    <w:link w:val="821"/>
    <w:uiPriority w:val="39"/>
    <w:unhideWhenUsed/>
    <w:pPr>
      <w:ind w:left="2268" w:right="0" w:firstLine="0"/>
      <w:spacing w:after="57"/>
    </w:pPr>
  </w:style>
  <w:style w:type="paragraph" w:styleId="869">
    <w:name w:val="普通(网站)"/>
    <w:basedOn w:val="821"/>
    <w:next w:val="869"/>
    <w:link w:val="821"/>
    <w:qFormat/>
    <w:pPr>
      <w:jc w:val="left"/>
      <w:spacing w:beforeAutospacing="1" w:afterAutospacing="1"/>
    </w:pPr>
    <w:rPr>
      <w:sz w:val="24"/>
    </w:rPr>
  </w:style>
  <w:style w:type="paragraph" w:styleId="870">
    <w:name w:val="标题"/>
    <w:basedOn w:val="821"/>
    <w:next w:val="821"/>
    <w:link w:val="871"/>
    <w:uiPriority w:val="10"/>
    <w:qFormat/>
    <w:pPr>
      <w:contextualSpacing/>
      <w:spacing w:before="300" w:after="200"/>
    </w:pPr>
    <w:rPr>
      <w:sz w:val="48"/>
      <w:szCs w:val="48"/>
    </w:rPr>
  </w:style>
  <w:style w:type="character" w:styleId="871">
    <w:name w:val="标题 Char"/>
    <w:next w:val="871"/>
    <w:link w:val="870"/>
    <w:uiPriority w:val="10"/>
    <w:rPr>
      <w:sz w:val="48"/>
      <w:szCs w:val="48"/>
    </w:rPr>
  </w:style>
  <w:style w:type="table" w:styleId="872">
    <w:name w:val="网格型"/>
    <w:next w:val="872"/>
    <w:link w:val="821"/>
    <w:uiPriority w:val="59"/>
    <w:rPr>
      <w:lang w:val="en-US" w:eastAsia="zh-CN" w:bidi="ar-SA"/>
    </w:rPr>
    <w:tblPr/>
  </w:style>
  <w:style w:type="character" w:styleId="873">
    <w:name w:val="尾注引用"/>
    <w:next w:val="873"/>
    <w:link w:val="821"/>
    <w:uiPriority w:val="99"/>
    <w:unhideWhenUsed/>
    <w:rPr>
      <w:vertAlign w:val="superscript"/>
    </w:rPr>
  </w:style>
  <w:style w:type="character" w:styleId="874">
    <w:name w:val="已访问的超链接"/>
    <w:next w:val="874"/>
    <w:link w:val="821"/>
    <w:rPr>
      <w:color w:val="800080"/>
      <w:u w:val="single"/>
    </w:rPr>
  </w:style>
  <w:style w:type="character" w:styleId="875">
    <w:name w:val="超链接"/>
    <w:next w:val="875"/>
    <w:link w:val="821"/>
    <w:uiPriority w:val="99"/>
    <w:unhideWhenUsed/>
    <w:rPr>
      <w:color w:val="0000ff"/>
      <w:u w:val="single"/>
    </w:rPr>
  </w:style>
  <w:style w:type="character" w:styleId="876">
    <w:name w:val="脚注引用"/>
    <w:next w:val="876"/>
    <w:link w:val="821"/>
    <w:uiPriority w:val="99"/>
    <w:unhideWhenUsed/>
    <w:rPr>
      <w:vertAlign w:val="superscript"/>
    </w:rPr>
  </w:style>
  <w:style w:type="character" w:styleId="877">
    <w:name w:val="Caption Char"/>
    <w:next w:val="877"/>
    <w:link w:val="854"/>
    <w:uiPriority w:val="99"/>
  </w:style>
  <w:style w:type="character" w:styleId="878">
    <w:name w:val="页码1"/>
    <w:next w:val="878"/>
    <w:link w:val="821"/>
  </w:style>
  <w:style w:type="paragraph" w:styleId="879">
    <w:name w:val="列出段落"/>
    <w:basedOn w:val="821"/>
    <w:next w:val="879"/>
    <w:link w:val="821"/>
    <w:uiPriority w:val="34"/>
    <w:qFormat/>
    <w:pPr>
      <w:contextualSpacing/>
      <w:ind w:left="720"/>
    </w:pPr>
  </w:style>
  <w:style w:type="paragraph" w:styleId="880">
    <w:name w:val="无间隔"/>
    <w:next w:val="880"/>
    <w:link w:val="821"/>
    <w:uiPriority w:val="1"/>
    <w:qFormat/>
    <w:rPr>
      <w:rFonts w:ascii="Calibri" w:hAnsi="Calibri"/>
      <w:lang w:val="en-US" w:eastAsia="zh-CN" w:bidi="ar-SA"/>
    </w:rPr>
  </w:style>
  <w:style w:type="paragraph" w:styleId="881">
    <w:name w:val="引用"/>
    <w:basedOn w:val="821"/>
    <w:next w:val="821"/>
    <w:link w:val="882"/>
    <w:uiPriority w:val="29"/>
    <w:qFormat/>
    <w:pPr>
      <w:ind w:left="720" w:right="720"/>
    </w:pPr>
    <w:rPr>
      <w:i/>
    </w:rPr>
  </w:style>
  <w:style w:type="character" w:styleId="882">
    <w:name w:val="引用 Char"/>
    <w:next w:val="882"/>
    <w:link w:val="881"/>
    <w:uiPriority w:val="29"/>
    <w:rPr>
      <w:i/>
    </w:rPr>
  </w:style>
  <w:style w:type="paragraph" w:styleId="883">
    <w:name w:val="明显引用"/>
    <w:basedOn w:val="821"/>
    <w:next w:val="821"/>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明显引用 Char"/>
    <w:next w:val="884"/>
    <w:link w:val="883"/>
    <w:uiPriority w:val="30"/>
    <w:rPr>
      <w:i/>
    </w:rPr>
  </w:style>
  <w:style w:type="table" w:styleId="885">
    <w:name w:val="Table Grid Light"/>
    <w:next w:val="885"/>
    <w:link w:val="821"/>
    <w:uiPriority w:val="59"/>
    <w:rPr>
      <w:lang w:val="en-US" w:eastAsia="zh-CN" w:bidi="ar-SA"/>
    </w:rPr>
    <w:tblPr/>
  </w:style>
  <w:style w:type="table" w:styleId="886">
    <w:name w:val="Plain Table 1"/>
    <w:next w:val="886"/>
    <w:link w:val="821"/>
    <w:uiPriority w:val="59"/>
    <w:rPr>
      <w:lang w:val="en-US" w:eastAsia="zh-CN" w:bidi="ar-SA"/>
    </w:rPr>
    <w:tblPr/>
  </w:style>
  <w:style w:type="table" w:styleId="887">
    <w:name w:val="Plain Table 2"/>
    <w:next w:val="887"/>
    <w:link w:val="821"/>
    <w:uiPriority w:val="59"/>
    <w:rPr>
      <w:lang w:val="en-US" w:eastAsia="zh-CN" w:bidi="ar-SA"/>
    </w:rPr>
    <w:tblPr/>
  </w:style>
  <w:style w:type="table" w:styleId="888">
    <w:name w:val="Plain Table 3"/>
    <w:next w:val="888"/>
    <w:link w:val="821"/>
    <w:uiPriority w:val="99"/>
    <w:rPr>
      <w:lang w:val="en-US" w:eastAsia="zh-CN" w:bidi="ar-SA"/>
    </w:rPr>
    <w:tblPr/>
  </w:style>
  <w:style w:type="table" w:styleId="889">
    <w:name w:val="Plain Table 4"/>
    <w:next w:val="889"/>
    <w:link w:val="821"/>
    <w:uiPriority w:val="99"/>
    <w:rPr>
      <w:lang w:val="en-US" w:eastAsia="zh-CN" w:bidi="ar-SA"/>
    </w:rPr>
    <w:tblPr/>
  </w:style>
  <w:style w:type="table" w:styleId="890">
    <w:name w:val="Plain Table 5"/>
    <w:next w:val="890"/>
    <w:link w:val="821"/>
    <w:uiPriority w:val="99"/>
    <w:rPr>
      <w:lang w:val="en-US" w:eastAsia="zh-CN" w:bidi="ar-SA"/>
    </w:rPr>
    <w:tblPr/>
  </w:style>
  <w:style w:type="table" w:styleId="891">
    <w:name w:val="Grid Table 1 Light"/>
    <w:next w:val="891"/>
    <w:link w:val="821"/>
    <w:uiPriority w:val="99"/>
    <w:rPr>
      <w:lang w:val="en-US" w:eastAsia="zh-CN" w:bidi="ar-SA"/>
    </w:rPr>
    <w:tblPr/>
  </w:style>
  <w:style w:type="table" w:styleId="892">
    <w:name w:val="Grid Table 1 Light - Accent 1"/>
    <w:next w:val="892"/>
    <w:link w:val="821"/>
    <w:uiPriority w:val="99"/>
    <w:rPr>
      <w:lang w:val="en-US" w:eastAsia="zh-CN" w:bidi="ar-SA"/>
    </w:rPr>
    <w:tblPr/>
  </w:style>
  <w:style w:type="table" w:styleId="893">
    <w:name w:val="Grid Table 1 Light - Accent 2"/>
    <w:next w:val="893"/>
    <w:link w:val="821"/>
    <w:uiPriority w:val="99"/>
    <w:rPr>
      <w:lang w:val="en-US" w:eastAsia="zh-CN" w:bidi="ar-SA"/>
    </w:rPr>
    <w:tblPr/>
  </w:style>
  <w:style w:type="table" w:styleId="894">
    <w:name w:val="Grid Table 1 Light - Accent 3"/>
    <w:next w:val="894"/>
    <w:link w:val="821"/>
    <w:uiPriority w:val="99"/>
    <w:rPr>
      <w:lang w:val="en-US" w:eastAsia="zh-CN" w:bidi="ar-SA"/>
    </w:rPr>
    <w:tblPr/>
  </w:style>
  <w:style w:type="table" w:styleId="895">
    <w:name w:val="Grid Table 1 Light - Accent 4"/>
    <w:next w:val="895"/>
    <w:link w:val="821"/>
    <w:uiPriority w:val="99"/>
    <w:rPr>
      <w:lang w:val="en-US" w:eastAsia="zh-CN" w:bidi="ar-SA"/>
    </w:rPr>
    <w:tblPr/>
  </w:style>
  <w:style w:type="table" w:styleId="896">
    <w:name w:val="Grid Table 1 Light - Accent 5"/>
    <w:next w:val="896"/>
    <w:link w:val="821"/>
    <w:uiPriority w:val="99"/>
    <w:rPr>
      <w:lang w:val="en-US" w:eastAsia="zh-CN" w:bidi="ar-SA"/>
    </w:rPr>
    <w:tblPr/>
  </w:style>
  <w:style w:type="table" w:styleId="897">
    <w:name w:val="Grid Table 1 Light - Accent 6"/>
    <w:next w:val="897"/>
    <w:link w:val="821"/>
    <w:uiPriority w:val="99"/>
    <w:rPr>
      <w:lang w:val="en-US" w:eastAsia="zh-CN" w:bidi="ar-SA"/>
    </w:rPr>
    <w:tblPr/>
  </w:style>
  <w:style w:type="table" w:styleId="898">
    <w:name w:val="Grid Table 2"/>
    <w:next w:val="898"/>
    <w:link w:val="821"/>
    <w:uiPriority w:val="99"/>
    <w:rPr>
      <w:lang w:val="en-US" w:eastAsia="zh-CN" w:bidi="ar-SA"/>
    </w:rPr>
    <w:tblPr/>
  </w:style>
  <w:style w:type="table" w:styleId="899">
    <w:name w:val="Grid Table 2 - Accent 1"/>
    <w:next w:val="899"/>
    <w:link w:val="821"/>
    <w:uiPriority w:val="99"/>
    <w:rPr>
      <w:lang w:val="en-US" w:eastAsia="zh-CN" w:bidi="ar-SA"/>
    </w:rPr>
    <w:tblPr/>
  </w:style>
  <w:style w:type="table" w:styleId="900">
    <w:name w:val="Grid Table 2 - Accent 2"/>
    <w:next w:val="900"/>
    <w:link w:val="821"/>
    <w:uiPriority w:val="99"/>
    <w:rPr>
      <w:lang w:val="en-US" w:eastAsia="zh-CN" w:bidi="ar-SA"/>
    </w:rPr>
    <w:tblPr/>
  </w:style>
  <w:style w:type="table" w:styleId="901">
    <w:name w:val="Grid Table 2 - Accent 3"/>
    <w:next w:val="901"/>
    <w:link w:val="821"/>
    <w:uiPriority w:val="99"/>
    <w:rPr>
      <w:lang w:val="en-US" w:eastAsia="zh-CN" w:bidi="ar-SA"/>
    </w:rPr>
    <w:tblPr/>
  </w:style>
  <w:style w:type="table" w:styleId="902">
    <w:name w:val="Grid Table 2 - Accent 4"/>
    <w:next w:val="902"/>
    <w:link w:val="821"/>
    <w:uiPriority w:val="99"/>
    <w:rPr>
      <w:lang w:val="en-US" w:eastAsia="zh-CN" w:bidi="ar-SA"/>
    </w:rPr>
    <w:tblPr/>
  </w:style>
  <w:style w:type="table" w:styleId="903">
    <w:name w:val="Grid Table 2 - Accent 5"/>
    <w:next w:val="903"/>
    <w:link w:val="821"/>
    <w:uiPriority w:val="99"/>
    <w:rPr>
      <w:lang w:val="en-US" w:eastAsia="zh-CN" w:bidi="ar-SA"/>
    </w:rPr>
    <w:tblPr/>
  </w:style>
  <w:style w:type="table" w:styleId="904">
    <w:name w:val="Grid Table 2 - Accent 6"/>
    <w:next w:val="904"/>
    <w:link w:val="821"/>
    <w:uiPriority w:val="99"/>
    <w:rPr>
      <w:lang w:val="en-US" w:eastAsia="zh-CN" w:bidi="ar-SA"/>
    </w:rPr>
    <w:tblPr/>
  </w:style>
  <w:style w:type="table" w:styleId="905">
    <w:name w:val="Grid Table 3"/>
    <w:next w:val="905"/>
    <w:link w:val="821"/>
    <w:uiPriority w:val="99"/>
    <w:rPr>
      <w:lang w:val="en-US" w:eastAsia="zh-CN" w:bidi="ar-SA"/>
    </w:rPr>
    <w:tblPr/>
  </w:style>
  <w:style w:type="table" w:styleId="906">
    <w:name w:val="Grid Table 3 - Accent 1"/>
    <w:next w:val="906"/>
    <w:link w:val="821"/>
    <w:uiPriority w:val="99"/>
    <w:rPr>
      <w:lang w:val="en-US" w:eastAsia="zh-CN" w:bidi="ar-SA"/>
    </w:rPr>
    <w:tblPr/>
  </w:style>
  <w:style w:type="table" w:styleId="907">
    <w:name w:val="Grid Table 3 - Accent 2"/>
    <w:next w:val="907"/>
    <w:link w:val="821"/>
    <w:uiPriority w:val="99"/>
    <w:rPr>
      <w:lang w:val="en-US" w:eastAsia="zh-CN" w:bidi="ar-SA"/>
    </w:rPr>
    <w:tblPr/>
  </w:style>
  <w:style w:type="table" w:styleId="908">
    <w:name w:val="Grid Table 3 - Accent 3"/>
    <w:next w:val="908"/>
    <w:link w:val="821"/>
    <w:uiPriority w:val="99"/>
    <w:rPr>
      <w:lang w:val="en-US" w:eastAsia="zh-CN" w:bidi="ar-SA"/>
    </w:rPr>
    <w:tblPr/>
  </w:style>
  <w:style w:type="table" w:styleId="909">
    <w:name w:val="Grid Table 3 - Accent 4"/>
    <w:next w:val="909"/>
    <w:link w:val="821"/>
    <w:uiPriority w:val="99"/>
    <w:rPr>
      <w:lang w:val="en-US" w:eastAsia="zh-CN" w:bidi="ar-SA"/>
    </w:rPr>
    <w:tblPr/>
  </w:style>
  <w:style w:type="table" w:styleId="910">
    <w:name w:val="Grid Table 3 - Accent 5"/>
    <w:next w:val="910"/>
    <w:link w:val="821"/>
    <w:uiPriority w:val="99"/>
    <w:rPr>
      <w:lang w:val="en-US" w:eastAsia="zh-CN" w:bidi="ar-SA"/>
    </w:rPr>
    <w:tblPr/>
  </w:style>
  <w:style w:type="table" w:styleId="911">
    <w:name w:val="Grid Table 3 - Accent 6"/>
    <w:next w:val="911"/>
    <w:link w:val="821"/>
    <w:uiPriority w:val="99"/>
    <w:rPr>
      <w:lang w:val="en-US" w:eastAsia="zh-CN" w:bidi="ar-SA"/>
    </w:rPr>
    <w:tblPr/>
  </w:style>
  <w:style w:type="table" w:styleId="912">
    <w:name w:val="Grid Table 4"/>
    <w:next w:val="912"/>
    <w:link w:val="821"/>
    <w:uiPriority w:val="59"/>
    <w:rPr>
      <w:lang w:val="en-US" w:eastAsia="zh-CN" w:bidi="ar-SA"/>
    </w:rPr>
    <w:tblPr/>
  </w:style>
  <w:style w:type="table" w:styleId="913">
    <w:name w:val="Grid Table 4 - Accent 1"/>
    <w:next w:val="913"/>
    <w:link w:val="821"/>
    <w:uiPriority w:val="59"/>
    <w:rPr>
      <w:lang w:val="en-US" w:eastAsia="zh-CN" w:bidi="ar-SA"/>
    </w:rPr>
    <w:tblPr/>
  </w:style>
  <w:style w:type="table" w:styleId="914">
    <w:name w:val="Grid Table 4 - Accent 2"/>
    <w:next w:val="914"/>
    <w:link w:val="821"/>
    <w:uiPriority w:val="59"/>
    <w:rPr>
      <w:lang w:val="en-US" w:eastAsia="zh-CN" w:bidi="ar-SA"/>
    </w:rPr>
    <w:tblPr/>
  </w:style>
  <w:style w:type="table" w:styleId="915">
    <w:name w:val="Grid Table 4 - Accent 3"/>
    <w:next w:val="915"/>
    <w:link w:val="821"/>
    <w:uiPriority w:val="59"/>
    <w:rPr>
      <w:lang w:val="en-US" w:eastAsia="zh-CN" w:bidi="ar-SA"/>
    </w:rPr>
    <w:tblPr/>
  </w:style>
  <w:style w:type="table" w:styleId="916">
    <w:name w:val="Grid Table 4 - Accent 4"/>
    <w:next w:val="916"/>
    <w:link w:val="821"/>
    <w:uiPriority w:val="59"/>
    <w:rPr>
      <w:lang w:val="en-US" w:eastAsia="zh-CN" w:bidi="ar-SA"/>
    </w:rPr>
    <w:tblPr/>
  </w:style>
  <w:style w:type="table" w:styleId="917">
    <w:name w:val="Grid Table 4 - Accent 5"/>
    <w:next w:val="917"/>
    <w:link w:val="821"/>
    <w:uiPriority w:val="59"/>
    <w:rPr>
      <w:lang w:val="en-US" w:eastAsia="zh-CN" w:bidi="ar-SA"/>
    </w:rPr>
    <w:tblPr/>
  </w:style>
  <w:style w:type="table" w:styleId="918">
    <w:name w:val="Grid Table 4 - Accent 6"/>
    <w:next w:val="918"/>
    <w:link w:val="821"/>
    <w:uiPriority w:val="59"/>
    <w:rPr>
      <w:lang w:val="en-US" w:eastAsia="zh-CN" w:bidi="ar-SA"/>
    </w:rPr>
    <w:tblPr/>
  </w:style>
  <w:style w:type="table" w:styleId="919">
    <w:name w:val="Grid Table 5 Dark"/>
    <w:next w:val="919"/>
    <w:link w:val="821"/>
    <w:uiPriority w:val="99"/>
    <w:rPr>
      <w:lang w:val="en-US" w:eastAsia="zh-CN" w:bidi="ar-SA"/>
    </w:rPr>
    <w:tblPr/>
  </w:style>
  <w:style w:type="table" w:styleId="920">
    <w:name w:val="Grid Table 5 Dark- Accent 1"/>
    <w:next w:val="920"/>
    <w:link w:val="821"/>
    <w:uiPriority w:val="99"/>
    <w:rPr>
      <w:lang w:val="en-US" w:eastAsia="zh-CN" w:bidi="ar-SA"/>
    </w:rPr>
    <w:tblPr/>
  </w:style>
  <w:style w:type="table" w:styleId="921">
    <w:name w:val="Grid Table 5 Dark - Accent 2"/>
    <w:next w:val="921"/>
    <w:link w:val="821"/>
    <w:uiPriority w:val="99"/>
    <w:rPr>
      <w:lang w:val="en-US" w:eastAsia="zh-CN" w:bidi="ar-SA"/>
    </w:rPr>
    <w:tblPr/>
  </w:style>
  <w:style w:type="table" w:styleId="922">
    <w:name w:val="Grid Table 5 Dark - Accent 3"/>
    <w:next w:val="922"/>
    <w:link w:val="821"/>
    <w:uiPriority w:val="99"/>
    <w:rPr>
      <w:lang w:val="en-US" w:eastAsia="zh-CN" w:bidi="ar-SA"/>
    </w:rPr>
    <w:tblPr/>
  </w:style>
  <w:style w:type="table" w:styleId="923">
    <w:name w:val="Grid Table 5 Dark- Accent 4"/>
    <w:next w:val="923"/>
    <w:link w:val="821"/>
    <w:uiPriority w:val="99"/>
    <w:rPr>
      <w:lang w:val="en-US" w:eastAsia="zh-CN" w:bidi="ar-SA"/>
    </w:rPr>
    <w:tblPr/>
  </w:style>
  <w:style w:type="table" w:styleId="924">
    <w:name w:val="Grid Table 5 Dark - Accent 5"/>
    <w:next w:val="924"/>
    <w:link w:val="821"/>
    <w:uiPriority w:val="99"/>
    <w:rPr>
      <w:lang w:val="en-US" w:eastAsia="zh-CN" w:bidi="ar-SA"/>
    </w:rPr>
    <w:tblPr/>
  </w:style>
  <w:style w:type="table" w:styleId="925">
    <w:name w:val="Grid Table 5 Dark - Accent 6"/>
    <w:next w:val="925"/>
    <w:link w:val="821"/>
    <w:uiPriority w:val="99"/>
    <w:rPr>
      <w:lang w:val="en-US" w:eastAsia="zh-CN" w:bidi="ar-SA"/>
    </w:rPr>
    <w:tblPr/>
  </w:style>
  <w:style w:type="table" w:styleId="926">
    <w:name w:val="Grid Table 6 Colorful"/>
    <w:next w:val="926"/>
    <w:link w:val="821"/>
    <w:uiPriority w:val="99"/>
    <w:rPr>
      <w:lang w:val="en-US" w:eastAsia="zh-CN" w:bidi="ar-SA"/>
    </w:rPr>
    <w:tblPr/>
  </w:style>
  <w:style w:type="table" w:styleId="927">
    <w:name w:val="Grid Table 6 Colorful - Accent 1"/>
    <w:next w:val="927"/>
    <w:link w:val="821"/>
    <w:uiPriority w:val="99"/>
    <w:rPr>
      <w:lang w:val="en-US" w:eastAsia="zh-CN" w:bidi="ar-SA"/>
    </w:rPr>
    <w:tblPr/>
  </w:style>
  <w:style w:type="table" w:styleId="928">
    <w:name w:val="Grid Table 6 Colorful - Accent 2"/>
    <w:next w:val="928"/>
    <w:link w:val="821"/>
    <w:uiPriority w:val="99"/>
    <w:rPr>
      <w:lang w:val="en-US" w:eastAsia="zh-CN" w:bidi="ar-SA"/>
    </w:rPr>
    <w:tblPr/>
  </w:style>
  <w:style w:type="table" w:styleId="929">
    <w:name w:val="Grid Table 6 Colorful - Accent 3"/>
    <w:next w:val="929"/>
    <w:link w:val="821"/>
    <w:uiPriority w:val="99"/>
    <w:rPr>
      <w:lang w:val="en-US" w:eastAsia="zh-CN" w:bidi="ar-SA"/>
    </w:rPr>
    <w:tblPr/>
  </w:style>
  <w:style w:type="table" w:styleId="930">
    <w:name w:val="Grid Table 6 Colorful - Accent 4"/>
    <w:next w:val="930"/>
    <w:link w:val="821"/>
    <w:uiPriority w:val="99"/>
    <w:rPr>
      <w:lang w:val="en-US" w:eastAsia="zh-CN" w:bidi="ar-SA"/>
    </w:rPr>
    <w:tblPr/>
  </w:style>
  <w:style w:type="table" w:styleId="931">
    <w:name w:val="Grid Table 6 Colorful - Accent 5"/>
    <w:next w:val="931"/>
    <w:link w:val="821"/>
    <w:uiPriority w:val="99"/>
    <w:rPr>
      <w:lang w:val="en-US" w:eastAsia="zh-CN" w:bidi="ar-SA"/>
    </w:rPr>
    <w:tblPr/>
  </w:style>
  <w:style w:type="table" w:styleId="932">
    <w:name w:val="Grid Table 6 Colorful - Accent 6"/>
    <w:next w:val="932"/>
    <w:link w:val="821"/>
    <w:uiPriority w:val="99"/>
    <w:rPr>
      <w:lang w:val="en-US" w:eastAsia="zh-CN" w:bidi="ar-SA"/>
    </w:rPr>
    <w:tblPr/>
  </w:style>
  <w:style w:type="table" w:styleId="933">
    <w:name w:val="Grid Table 7 Colorful"/>
    <w:next w:val="933"/>
    <w:link w:val="821"/>
    <w:uiPriority w:val="99"/>
    <w:rPr>
      <w:lang w:val="en-US" w:eastAsia="zh-CN" w:bidi="ar-SA"/>
    </w:rPr>
    <w:tblPr/>
  </w:style>
  <w:style w:type="table" w:styleId="934">
    <w:name w:val="Grid Table 7 Colorful - Accent 1"/>
    <w:next w:val="934"/>
    <w:link w:val="821"/>
    <w:uiPriority w:val="99"/>
    <w:rPr>
      <w:lang w:val="en-US" w:eastAsia="zh-CN" w:bidi="ar-SA"/>
    </w:rPr>
    <w:tblPr/>
  </w:style>
  <w:style w:type="table" w:styleId="935">
    <w:name w:val="Grid Table 7 Colorful - Accent 2"/>
    <w:next w:val="935"/>
    <w:link w:val="821"/>
    <w:uiPriority w:val="99"/>
    <w:rPr>
      <w:lang w:val="en-US" w:eastAsia="zh-CN" w:bidi="ar-SA"/>
    </w:rPr>
    <w:tblPr/>
  </w:style>
  <w:style w:type="table" w:styleId="936">
    <w:name w:val="Grid Table 7 Colorful - Accent 3"/>
    <w:next w:val="936"/>
    <w:link w:val="821"/>
    <w:uiPriority w:val="99"/>
    <w:rPr>
      <w:lang w:val="en-US" w:eastAsia="zh-CN" w:bidi="ar-SA"/>
    </w:rPr>
    <w:tblPr/>
  </w:style>
  <w:style w:type="table" w:styleId="937">
    <w:name w:val="Grid Table 7 Colorful - Accent 4"/>
    <w:next w:val="937"/>
    <w:link w:val="821"/>
    <w:uiPriority w:val="99"/>
    <w:qFormat/>
    <w:rPr>
      <w:lang w:val="en-US" w:eastAsia="zh-CN" w:bidi="ar-SA"/>
    </w:rPr>
    <w:tblPr/>
  </w:style>
  <w:style w:type="table" w:styleId="938">
    <w:name w:val="Grid Table 7 Colorful - Accent 5"/>
    <w:next w:val="938"/>
    <w:link w:val="821"/>
    <w:uiPriority w:val="99"/>
    <w:rPr>
      <w:lang w:val="en-US" w:eastAsia="zh-CN" w:bidi="ar-SA"/>
    </w:rPr>
    <w:tblPr/>
  </w:style>
  <w:style w:type="table" w:styleId="939">
    <w:name w:val="Grid Table 7 Colorful - Accent 6"/>
    <w:next w:val="939"/>
    <w:link w:val="821"/>
    <w:uiPriority w:val="99"/>
    <w:qFormat/>
    <w:rPr>
      <w:lang w:val="en-US" w:eastAsia="zh-CN" w:bidi="ar-SA"/>
    </w:rPr>
    <w:tblPr/>
  </w:style>
  <w:style w:type="table" w:styleId="940">
    <w:name w:val="List Table 1 Light"/>
    <w:next w:val="940"/>
    <w:link w:val="821"/>
    <w:uiPriority w:val="99"/>
    <w:qFormat/>
    <w:rPr>
      <w:lang w:val="en-US" w:eastAsia="zh-CN" w:bidi="ar-SA"/>
    </w:rPr>
    <w:tblPr/>
  </w:style>
  <w:style w:type="table" w:styleId="941">
    <w:name w:val="List Table 1 Light - Accent 1"/>
    <w:next w:val="941"/>
    <w:link w:val="821"/>
    <w:uiPriority w:val="99"/>
    <w:qFormat/>
    <w:rPr>
      <w:lang w:val="en-US" w:eastAsia="zh-CN" w:bidi="ar-SA"/>
    </w:rPr>
    <w:tblPr/>
  </w:style>
  <w:style w:type="table" w:styleId="942">
    <w:name w:val="List Table 1 Light - Accent 2"/>
    <w:next w:val="942"/>
    <w:link w:val="821"/>
    <w:uiPriority w:val="99"/>
    <w:rPr>
      <w:lang w:val="en-US" w:eastAsia="zh-CN" w:bidi="ar-SA"/>
    </w:rPr>
    <w:tblPr/>
  </w:style>
  <w:style w:type="table" w:styleId="943">
    <w:name w:val="List Table 1 Light - Accent 3"/>
    <w:next w:val="943"/>
    <w:link w:val="821"/>
    <w:uiPriority w:val="99"/>
    <w:rPr>
      <w:lang w:val="en-US" w:eastAsia="zh-CN" w:bidi="ar-SA"/>
    </w:rPr>
    <w:tblPr/>
  </w:style>
  <w:style w:type="table" w:styleId="944">
    <w:name w:val="List Table 1 Light - Accent 4"/>
    <w:next w:val="944"/>
    <w:link w:val="821"/>
    <w:uiPriority w:val="99"/>
    <w:rPr>
      <w:lang w:val="en-US" w:eastAsia="zh-CN" w:bidi="ar-SA"/>
    </w:rPr>
    <w:tblPr/>
  </w:style>
  <w:style w:type="table" w:styleId="945">
    <w:name w:val="List Table 1 Light - Accent 5"/>
    <w:next w:val="945"/>
    <w:link w:val="821"/>
    <w:uiPriority w:val="99"/>
    <w:rPr>
      <w:lang w:val="en-US" w:eastAsia="zh-CN" w:bidi="ar-SA"/>
    </w:rPr>
    <w:tblPr/>
  </w:style>
  <w:style w:type="table" w:styleId="946">
    <w:name w:val="List Table 1 Light - Accent 6"/>
    <w:next w:val="946"/>
    <w:link w:val="821"/>
    <w:uiPriority w:val="99"/>
    <w:rPr>
      <w:lang w:val="en-US" w:eastAsia="zh-CN" w:bidi="ar-SA"/>
    </w:rPr>
    <w:tblPr/>
  </w:style>
  <w:style w:type="table" w:styleId="947">
    <w:name w:val="List Table 2"/>
    <w:next w:val="947"/>
    <w:link w:val="821"/>
    <w:uiPriority w:val="99"/>
    <w:rPr>
      <w:lang w:val="en-US" w:eastAsia="zh-CN" w:bidi="ar-SA"/>
    </w:rPr>
    <w:tblPr/>
  </w:style>
  <w:style w:type="table" w:styleId="948">
    <w:name w:val="List Table 2 - Accent 1"/>
    <w:next w:val="948"/>
    <w:link w:val="821"/>
    <w:uiPriority w:val="99"/>
    <w:rPr>
      <w:lang w:val="en-US" w:eastAsia="zh-CN" w:bidi="ar-SA"/>
    </w:rPr>
    <w:tblPr/>
  </w:style>
  <w:style w:type="table" w:styleId="949">
    <w:name w:val="List Table 2 - Accent 2"/>
    <w:next w:val="949"/>
    <w:link w:val="821"/>
    <w:uiPriority w:val="99"/>
    <w:rPr>
      <w:lang w:val="en-US" w:eastAsia="zh-CN" w:bidi="ar-SA"/>
    </w:rPr>
    <w:tblPr/>
  </w:style>
  <w:style w:type="table" w:styleId="950">
    <w:name w:val="List Table 2 - Accent 3"/>
    <w:next w:val="950"/>
    <w:link w:val="821"/>
    <w:uiPriority w:val="99"/>
    <w:rPr>
      <w:lang w:val="en-US" w:eastAsia="zh-CN" w:bidi="ar-SA"/>
    </w:rPr>
    <w:tblPr/>
  </w:style>
  <w:style w:type="table" w:styleId="951">
    <w:name w:val="List Table 2 - Accent 4"/>
    <w:next w:val="951"/>
    <w:link w:val="821"/>
    <w:uiPriority w:val="99"/>
    <w:rPr>
      <w:lang w:val="en-US" w:eastAsia="zh-CN" w:bidi="ar-SA"/>
    </w:rPr>
    <w:tblPr/>
  </w:style>
  <w:style w:type="table" w:styleId="952">
    <w:name w:val="List Table 2 - Accent 5"/>
    <w:next w:val="952"/>
    <w:link w:val="821"/>
    <w:uiPriority w:val="99"/>
    <w:rPr>
      <w:lang w:val="en-US" w:eastAsia="zh-CN" w:bidi="ar-SA"/>
    </w:rPr>
    <w:tblPr/>
  </w:style>
  <w:style w:type="table" w:styleId="953">
    <w:name w:val="List Table 2 - Accent 6"/>
    <w:next w:val="953"/>
    <w:link w:val="821"/>
    <w:uiPriority w:val="99"/>
    <w:rPr>
      <w:lang w:val="en-US" w:eastAsia="zh-CN" w:bidi="ar-SA"/>
    </w:rPr>
    <w:tblPr/>
  </w:style>
  <w:style w:type="table" w:styleId="954">
    <w:name w:val="List Table 3"/>
    <w:next w:val="954"/>
    <w:link w:val="821"/>
    <w:uiPriority w:val="99"/>
    <w:rPr>
      <w:lang w:val="en-US" w:eastAsia="zh-CN" w:bidi="ar-SA"/>
    </w:rPr>
    <w:tblPr/>
  </w:style>
  <w:style w:type="table" w:styleId="955">
    <w:name w:val="List Table 3 - Accent 1"/>
    <w:next w:val="955"/>
    <w:link w:val="821"/>
    <w:uiPriority w:val="99"/>
    <w:rPr>
      <w:lang w:val="en-US" w:eastAsia="zh-CN" w:bidi="ar-SA"/>
    </w:rPr>
    <w:tblPr/>
  </w:style>
  <w:style w:type="table" w:styleId="956">
    <w:name w:val="List Table 3 - Accent 2"/>
    <w:next w:val="956"/>
    <w:link w:val="821"/>
    <w:uiPriority w:val="99"/>
    <w:rPr>
      <w:lang w:val="en-US" w:eastAsia="zh-CN" w:bidi="ar-SA"/>
    </w:rPr>
    <w:tblPr/>
  </w:style>
  <w:style w:type="table" w:styleId="957">
    <w:name w:val="List Table 3 - Accent 3"/>
    <w:next w:val="957"/>
    <w:link w:val="821"/>
    <w:uiPriority w:val="99"/>
    <w:rPr>
      <w:lang w:val="en-US" w:eastAsia="zh-CN" w:bidi="ar-SA"/>
    </w:rPr>
    <w:tblPr/>
  </w:style>
  <w:style w:type="table" w:styleId="958">
    <w:name w:val="List Table 3 - Accent 4"/>
    <w:next w:val="958"/>
    <w:link w:val="821"/>
    <w:uiPriority w:val="99"/>
    <w:rPr>
      <w:lang w:val="en-US" w:eastAsia="zh-CN" w:bidi="ar-SA"/>
    </w:rPr>
    <w:tblPr/>
  </w:style>
  <w:style w:type="table" w:styleId="959">
    <w:name w:val="List Table 3 - Accent 5"/>
    <w:next w:val="959"/>
    <w:link w:val="821"/>
    <w:uiPriority w:val="99"/>
    <w:rPr>
      <w:lang w:val="en-US" w:eastAsia="zh-CN" w:bidi="ar-SA"/>
    </w:rPr>
    <w:tblPr/>
  </w:style>
  <w:style w:type="table" w:styleId="960">
    <w:name w:val="List Table 3 - Accent 6"/>
    <w:next w:val="960"/>
    <w:link w:val="821"/>
    <w:uiPriority w:val="99"/>
    <w:rPr>
      <w:lang w:val="en-US" w:eastAsia="zh-CN" w:bidi="ar-SA"/>
    </w:rPr>
    <w:tblPr/>
  </w:style>
  <w:style w:type="table" w:styleId="961">
    <w:name w:val="List Table 4"/>
    <w:next w:val="961"/>
    <w:link w:val="821"/>
    <w:uiPriority w:val="99"/>
    <w:rPr>
      <w:lang w:val="en-US" w:eastAsia="zh-CN" w:bidi="ar-SA"/>
    </w:rPr>
    <w:tblPr/>
  </w:style>
  <w:style w:type="table" w:styleId="962">
    <w:name w:val="List Table 4 - Accent 1"/>
    <w:next w:val="962"/>
    <w:link w:val="821"/>
    <w:uiPriority w:val="99"/>
    <w:rPr>
      <w:lang w:val="en-US" w:eastAsia="zh-CN" w:bidi="ar-SA"/>
    </w:rPr>
    <w:tblPr/>
  </w:style>
  <w:style w:type="table" w:styleId="963">
    <w:name w:val="List Table 4 - Accent 2"/>
    <w:next w:val="963"/>
    <w:link w:val="821"/>
    <w:uiPriority w:val="99"/>
    <w:rPr>
      <w:lang w:val="en-US" w:eastAsia="zh-CN" w:bidi="ar-SA"/>
    </w:rPr>
    <w:tblPr/>
  </w:style>
  <w:style w:type="table" w:styleId="964">
    <w:name w:val="List Table 4 - Accent 3"/>
    <w:next w:val="964"/>
    <w:link w:val="821"/>
    <w:uiPriority w:val="99"/>
    <w:rPr>
      <w:lang w:val="en-US" w:eastAsia="zh-CN" w:bidi="ar-SA"/>
    </w:rPr>
    <w:tblPr/>
  </w:style>
  <w:style w:type="table" w:styleId="965">
    <w:name w:val="List Table 4 - Accent 4"/>
    <w:next w:val="965"/>
    <w:link w:val="821"/>
    <w:uiPriority w:val="99"/>
    <w:rPr>
      <w:lang w:val="en-US" w:eastAsia="zh-CN" w:bidi="ar-SA"/>
    </w:rPr>
    <w:tblPr/>
  </w:style>
  <w:style w:type="table" w:styleId="966">
    <w:name w:val="List Table 4 - Accent 5"/>
    <w:next w:val="966"/>
    <w:link w:val="821"/>
    <w:uiPriority w:val="99"/>
    <w:rPr>
      <w:lang w:val="en-US" w:eastAsia="zh-CN" w:bidi="ar-SA"/>
    </w:rPr>
    <w:tblPr/>
  </w:style>
  <w:style w:type="table" w:styleId="967">
    <w:name w:val="List Table 4 - Accent 6"/>
    <w:next w:val="967"/>
    <w:link w:val="821"/>
    <w:uiPriority w:val="99"/>
    <w:rPr>
      <w:lang w:val="en-US" w:eastAsia="zh-CN" w:bidi="ar-SA"/>
    </w:rPr>
    <w:tblPr/>
  </w:style>
  <w:style w:type="table" w:styleId="968">
    <w:name w:val="List Table 5 Dark"/>
    <w:next w:val="968"/>
    <w:link w:val="821"/>
    <w:uiPriority w:val="99"/>
    <w:rPr>
      <w:lang w:val="en-US" w:eastAsia="zh-CN" w:bidi="ar-SA"/>
    </w:rPr>
    <w:tblPr/>
  </w:style>
  <w:style w:type="table" w:styleId="969">
    <w:name w:val="List Table 5 Dark - Accent 1"/>
    <w:next w:val="969"/>
    <w:link w:val="821"/>
    <w:uiPriority w:val="99"/>
    <w:rPr>
      <w:lang w:val="en-US" w:eastAsia="zh-CN" w:bidi="ar-SA"/>
    </w:rPr>
    <w:tblPr/>
  </w:style>
  <w:style w:type="table" w:styleId="970">
    <w:name w:val="List Table 5 Dark - Accent 2"/>
    <w:next w:val="970"/>
    <w:link w:val="821"/>
    <w:uiPriority w:val="99"/>
    <w:rPr>
      <w:lang w:val="en-US" w:eastAsia="zh-CN" w:bidi="ar-SA"/>
    </w:rPr>
    <w:tblPr/>
  </w:style>
  <w:style w:type="table" w:styleId="971">
    <w:name w:val="List Table 5 Dark - Accent 3"/>
    <w:next w:val="971"/>
    <w:link w:val="821"/>
    <w:uiPriority w:val="99"/>
    <w:rPr>
      <w:lang w:val="en-US" w:eastAsia="zh-CN" w:bidi="ar-SA"/>
    </w:rPr>
    <w:tblPr/>
  </w:style>
  <w:style w:type="table" w:styleId="972">
    <w:name w:val="List Table 5 Dark - Accent 4"/>
    <w:next w:val="972"/>
    <w:link w:val="821"/>
    <w:uiPriority w:val="99"/>
    <w:rPr>
      <w:lang w:val="en-US" w:eastAsia="zh-CN" w:bidi="ar-SA"/>
    </w:rPr>
    <w:tblPr/>
  </w:style>
  <w:style w:type="table" w:styleId="973">
    <w:name w:val="List Table 5 Dark - Accent 5"/>
    <w:next w:val="973"/>
    <w:link w:val="821"/>
    <w:uiPriority w:val="99"/>
    <w:rPr>
      <w:lang w:val="en-US" w:eastAsia="zh-CN" w:bidi="ar-SA"/>
    </w:rPr>
    <w:tblPr/>
  </w:style>
  <w:style w:type="table" w:styleId="974">
    <w:name w:val="List Table 5 Dark - Accent 6"/>
    <w:next w:val="974"/>
    <w:link w:val="821"/>
    <w:uiPriority w:val="99"/>
    <w:rPr>
      <w:lang w:val="en-US" w:eastAsia="zh-CN" w:bidi="ar-SA"/>
    </w:rPr>
    <w:tblPr/>
  </w:style>
  <w:style w:type="table" w:styleId="975">
    <w:name w:val="List Table 6 Colorful"/>
    <w:next w:val="975"/>
    <w:link w:val="821"/>
    <w:uiPriority w:val="99"/>
    <w:rPr>
      <w:lang w:val="en-US" w:eastAsia="zh-CN" w:bidi="ar-SA"/>
    </w:rPr>
    <w:tblPr/>
  </w:style>
  <w:style w:type="table" w:styleId="976">
    <w:name w:val="List Table 6 Colorful - Accent 1"/>
    <w:next w:val="976"/>
    <w:link w:val="821"/>
    <w:uiPriority w:val="99"/>
    <w:rPr>
      <w:lang w:val="en-US" w:eastAsia="zh-CN" w:bidi="ar-SA"/>
    </w:rPr>
    <w:tblPr/>
  </w:style>
  <w:style w:type="table" w:styleId="977">
    <w:name w:val="List Table 6 Colorful - Accent 2"/>
    <w:next w:val="977"/>
    <w:link w:val="821"/>
    <w:uiPriority w:val="99"/>
    <w:rPr>
      <w:lang w:val="en-US" w:eastAsia="zh-CN" w:bidi="ar-SA"/>
    </w:rPr>
    <w:tblPr/>
  </w:style>
  <w:style w:type="table" w:styleId="978">
    <w:name w:val="List Table 6 Colorful - Accent 3"/>
    <w:next w:val="978"/>
    <w:link w:val="821"/>
    <w:uiPriority w:val="99"/>
    <w:rPr>
      <w:lang w:val="en-US" w:eastAsia="zh-CN" w:bidi="ar-SA"/>
    </w:rPr>
    <w:tblPr/>
  </w:style>
  <w:style w:type="table" w:styleId="979">
    <w:name w:val="List Table 6 Colorful - Accent 4"/>
    <w:next w:val="979"/>
    <w:link w:val="821"/>
    <w:uiPriority w:val="99"/>
    <w:rPr>
      <w:lang w:val="en-US" w:eastAsia="zh-CN" w:bidi="ar-SA"/>
    </w:rPr>
    <w:tblPr/>
  </w:style>
  <w:style w:type="table" w:styleId="980">
    <w:name w:val="List Table 6 Colorful - Accent 5"/>
    <w:next w:val="980"/>
    <w:link w:val="821"/>
    <w:uiPriority w:val="99"/>
    <w:rPr>
      <w:lang w:val="en-US" w:eastAsia="zh-CN" w:bidi="ar-SA"/>
    </w:rPr>
    <w:tblPr/>
  </w:style>
  <w:style w:type="table" w:styleId="981">
    <w:name w:val="List Table 6 Colorful - Accent 6"/>
    <w:next w:val="981"/>
    <w:link w:val="821"/>
    <w:uiPriority w:val="99"/>
    <w:rPr>
      <w:lang w:val="en-US" w:eastAsia="zh-CN" w:bidi="ar-SA"/>
    </w:rPr>
    <w:tblPr/>
  </w:style>
  <w:style w:type="table" w:styleId="982">
    <w:name w:val="List Table 7 Colorful"/>
    <w:next w:val="982"/>
    <w:link w:val="821"/>
    <w:uiPriority w:val="99"/>
    <w:rPr>
      <w:lang w:val="en-US" w:eastAsia="zh-CN" w:bidi="ar-SA"/>
    </w:rPr>
    <w:tblPr/>
  </w:style>
  <w:style w:type="table" w:styleId="983">
    <w:name w:val="List Table 7 Colorful - Accent 1"/>
    <w:next w:val="983"/>
    <w:link w:val="821"/>
    <w:uiPriority w:val="99"/>
    <w:rPr>
      <w:lang w:val="en-US" w:eastAsia="zh-CN" w:bidi="ar-SA"/>
    </w:rPr>
    <w:tblPr/>
  </w:style>
  <w:style w:type="table" w:styleId="984">
    <w:name w:val="List Table 7 Colorful - Accent 2"/>
    <w:next w:val="984"/>
    <w:link w:val="821"/>
    <w:uiPriority w:val="99"/>
    <w:rPr>
      <w:lang w:val="en-US" w:eastAsia="zh-CN" w:bidi="ar-SA"/>
    </w:rPr>
    <w:tblPr/>
  </w:style>
  <w:style w:type="table" w:styleId="985">
    <w:name w:val="List Table 7 Colorful - Accent 3"/>
    <w:next w:val="985"/>
    <w:link w:val="821"/>
    <w:uiPriority w:val="99"/>
    <w:rPr>
      <w:lang w:val="en-US" w:eastAsia="zh-CN" w:bidi="ar-SA"/>
    </w:rPr>
    <w:tblPr/>
  </w:style>
  <w:style w:type="table" w:styleId="986">
    <w:name w:val="List Table 7 Colorful - Accent 4"/>
    <w:next w:val="986"/>
    <w:link w:val="821"/>
    <w:uiPriority w:val="99"/>
    <w:rPr>
      <w:lang w:val="en-US" w:eastAsia="zh-CN" w:bidi="ar-SA"/>
    </w:rPr>
    <w:tblPr/>
  </w:style>
  <w:style w:type="table" w:styleId="987">
    <w:name w:val="List Table 7 Colorful - Accent 5"/>
    <w:next w:val="987"/>
    <w:link w:val="821"/>
    <w:uiPriority w:val="99"/>
    <w:rPr>
      <w:lang w:val="en-US" w:eastAsia="zh-CN" w:bidi="ar-SA"/>
    </w:rPr>
    <w:tblPr/>
  </w:style>
  <w:style w:type="table" w:styleId="988">
    <w:name w:val="List Table 7 Colorful - Accent 6"/>
    <w:next w:val="988"/>
    <w:link w:val="821"/>
    <w:uiPriority w:val="99"/>
    <w:rPr>
      <w:lang w:val="en-US" w:eastAsia="zh-CN" w:bidi="ar-SA"/>
    </w:rPr>
    <w:tblPr/>
  </w:style>
  <w:style w:type="table" w:styleId="989">
    <w:name w:val="Lined - Accent"/>
    <w:next w:val="989"/>
    <w:link w:val="821"/>
    <w:uiPriority w:val="99"/>
    <w:rPr>
      <w:color w:val="404040"/>
      <w:lang w:val="en-US" w:eastAsia="zh-CN" w:bidi="ar-SA"/>
    </w:rPr>
    <w:tblPr/>
  </w:style>
  <w:style w:type="table" w:styleId="990">
    <w:name w:val="Lined - Accent 1"/>
    <w:next w:val="990"/>
    <w:link w:val="821"/>
    <w:uiPriority w:val="99"/>
    <w:rPr>
      <w:color w:val="404040"/>
      <w:lang w:val="en-US" w:eastAsia="zh-CN" w:bidi="ar-SA"/>
    </w:rPr>
    <w:tblPr/>
  </w:style>
  <w:style w:type="table" w:styleId="991">
    <w:name w:val="Lined - Accent 2"/>
    <w:next w:val="991"/>
    <w:link w:val="821"/>
    <w:uiPriority w:val="99"/>
    <w:rPr>
      <w:color w:val="404040"/>
      <w:lang w:val="en-US" w:eastAsia="zh-CN" w:bidi="ar-SA"/>
    </w:rPr>
    <w:tblPr/>
  </w:style>
  <w:style w:type="table" w:styleId="992">
    <w:name w:val="Lined - Accent 3"/>
    <w:next w:val="992"/>
    <w:link w:val="821"/>
    <w:uiPriority w:val="99"/>
    <w:rPr>
      <w:color w:val="404040"/>
      <w:lang w:val="en-US" w:eastAsia="zh-CN" w:bidi="ar-SA"/>
    </w:rPr>
    <w:tblPr/>
  </w:style>
  <w:style w:type="table" w:styleId="993">
    <w:name w:val="Lined - Accent 4"/>
    <w:next w:val="993"/>
    <w:link w:val="821"/>
    <w:uiPriority w:val="99"/>
    <w:rPr>
      <w:color w:val="404040"/>
      <w:lang w:val="en-US" w:eastAsia="zh-CN" w:bidi="ar-SA"/>
    </w:rPr>
    <w:tblPr/>
  </w:style>
  <w:style w:type="table" w:styleId="994">
    <w:name w:val="Lined - Accent 5"/>
    <w:next w:val="994"/>
    <w:link w:val="821"/>
    <w:uiPriority w:val="99"/>
    <w:rPr>
      <w:color w:val="404040"/>
      <w:lang w:val="en-US" w:eastAsia="zh-CN" w:bidi="ar-SA"/>
    </w:rPr>
    <w:tblPr/>
  </w:style>
  <w:style w:type="table" w:styleId="995">
    <w:name w:val="Lined - Accent 6"/>
    <w:next w:val="995"/>
    <w:link w:val="821"/>
    <w:uiPriority w:val="99"/>
    <w:rPr>
      <w:color w:val="404040"/>
      <w:lang w:val="en-US" w:eastAsia="zh-CN" w:bidi="ar-SA"/>
    </w:rPr>
    <w:tblPr/>
  </w:style>
  <w:style w:type="table" w:styleId="996">
    <w:name w:val="Bordered &amp; Lined - Accent"/>
    <w:next w:val="996"/>
    <w:link w:val="821"/>
    <w:uiPriority w:val="99"/>
    <w:rPr>
      <w:color w:val="404040"/>
      <w:lang w:val="en-US" w:eastAsia="zh-CN" w:bidi="ar-SA"/>
    </w:rPr>
    <w:tblPr/>
  </w:style>
  <w:style w:type="table" w:styleId="997">
    <w:name w:val="Bordered &amp; Lined - Accent 1"/>
    <w:next w:val="997"/>
    <w:link w:val="821"/>
    <w:uiPriority w:val="99"/>
    <w:rPr>
      <w:color w:val="404040"/>
      <w:lang w:val="en-US" w:eastAsia="zh-CN" w:bidi="ar-SA"/>
    </w:rPr>
    <w:tblPr/>
  </w:style>
  <w:style w:type="table" w:styleId="998">
    <w:name w:val="Bordered &amp; Lined - Accent 2"/>
    <w:next w:val="998"/>
    <w:link w:val="821"/>
    <w:uiPriority w:val="99"/>
    <w:rPr>
      <w:color w:val="404040"/>
      <w:lang w:val="en-US" w:eastAsia="zh-CN" w:bidi="ar-SA"/>
    </w:rPr>
    <w:tblPr/>
  </w:style>
  <w:style w:type="table" w:styleId="999">
    <w:name w:val="Bordered &amp; Lined - Accent 3"/>
    <w:next w:val="999"/>
    <w:link w:val="821"/>
    <w:uiPriority w:val="99"/>
    <w:rPr>
      <w:color w:val="404040"/>
      <w:lang w:val="en-US" w:eastAsia="zh-CN" w:bidi="ar-SA"/>
    </w:rPr>
    <w:tblPr/>
  </w:style>
  <w:style w:type="table" w:styleId="1000">
    <w:name w:val="Bordered &amp; Lined - Accent 4"/>
    <w:next w:val="1000"/>
    <w:link w:val="821"/>
    <w:uiPriority w:val="99"/>
    <w:rPr>
      <w:color w:val="404040"/>
      <w:lang w:val="en-US" w:eastAsia="zh-CN" w:bidi="ar-SA"/>
    </w:rPr>
    <w:tblPr/>
  </w:style>
  <w:style w:type="table" w:styleId="1001">
    <w:name w:val="Bordered &amp; Lined - Accent 5"/>
    <w:next w:val="1001"/>
    <w:link w:val="821"/>
    <w:uiPriority w:val="99"/>
    <w:rPr>
      <w:color w:val="404040"/>
      <w:lang w:val="en-US" w:eastAsia="zh-CN" w:bidi="ar-SA"/>
    </w:rPr>
    <w:tblPr/>
  </w:style>
  <w:style w:type="table" w:styleId="1002">
    <w:name w:val="Bordered &amp; Lined - Accent 6"/>
    <w:next w:val="1002"/>
    <w:link w:val="821"/>
    <w:uiPriority w:val="99"/>
    <w:rPr>
      <w:color w:val="404040"/>
      <w:lang w:val="en-US" w:eastAsia="zh-CN" w:bidi="ar-SA"/>
    </w:rPr>
    <w:tblPr/>
  </w:style>
  <w:style w:type="table" w:styleId="1003">
    <w:name w:val="Bordered"/>
    <w:next w:val="1003"/>
    <w:link w:val="821"/>
    <w:uiPriority w:val="99"/>
    <w:rPr>
      <w:lang w:val="en-US" w:eastAsia="zh-CN" w:bidi="ar-SA"/>
    </w:rPr>
    <w:tblPr/>
  </w:style>
  <w:style w:type="table" w:styleId="1004">
    <w:name w:val="Bordered - Accent 1"/>
    <w:next w:val="1004"/>
    <w:link w:val="821"/>
    <w:uiPriority w:val="99"/>
    <w:rPr>
      <w:lang w:val="en-US" w:eastAsia="zh-CN" w:bidi="ar-SA"/>
    </w:rPr>
    <w:tblPr/>
  </w:style>
  <w:style w:type="table" w:styleId="1005">
    <w:name w:val="Bordered - Accent 2"/>
    <w:next w:val="1005"/>
    <w:link w:val="821"/>
    <w:uiPriority w:val="99"/>
    <w:rPr>
      <w:lang w:val="en-US" w:eastAsia="zh-CN" w:bidi="ar-SA"/>
    </w:rPr>
    <w:tblPr/>
  </w:style>
  <w:style w:type="table" w:styleId="1006">
    <w:name w:val="Bordered - Accent 3"/>
    <w:next w:val="1006"/>
    <w:link w:val="821"/>
    <w:uiPriority w:val="99"/>
    <w:rPr>
      <w:lang w:val="en-US" w:eastAsia="zh-CN" w:bidi="ar-SA"/>
    </w:rPr>
    <w:tblPr/>
  </w:style>
  <w:style w:type="table" w:styleId="1007">
    <w:name w:val="Bordered - Accent 4"/>
    <w:next w:val="1007"/>
    <w:link w:val="821"/>
    <w:uiPriority w:val="99"/>
    <w:rPr>
      <w:lang w:val="en-US" w:eastAsia="zh-CN" w:bidi="ar-SA"/>
    </w:rPr>
    <w:tblPr/>
  </w:style>
  <w:style w:type="table" w:styleId="1008">
    <w:name w:val="Bordered - Accent 5"/>
    <w:next w:val="1008"/>
    <w:link w:val="821"/>
    <w:uiPriority w:val="99"/>
    <w:rPr>
      <w:lang w:val="en-US" w:eastAsia="zh-CN" w:bidi="ar-SA"/>
    </w:rPr>
    <w:tblPr/>
  </w:style>
  <w:style w:type="table" w:styleId="1009">
    <w:name w:val="Bordered - Accent 6"/>
    <w:next w:val="1009"/>
    <w:link w:val="821"/>
    <w:uiPriority w:val="99"/>
    <w:rPr>
      <w:lang w:val="en-US" w:eastAsia="zh-CN" w:bidi="ar-SA"/>
    </w:rPr>
    <w:tblPr/>
  </w:style>
  <w:style w:type="paragraph" w:styleId="1010">
    <w:name w:val="TOC Heading"/>
    <w:next w:val="1010"/>
    <w:link w:val="821"/>
    <w:uiPriority w:val="39"/>
    <w:unhideWhenUsed/>
    <w:rPr>
      <w:rFonts w:ascii="Calibri" w:hAnsi="Calibri"/>
      <w:lang w:val="en-US" w:eastAsia="zh-CN" w:bidi="ar-SA"/>
    </w:rPr>
  </w:style>
  <w:style w:type="paragraph" w:styleId="1011">
    <w:name w:val="标题 11"/>
    <w:basedOn w:val="821"/>
    <w:next w:val="821"/>
    <w:link w:val="1012"/>
    <w:qFormat/>
    <w:pPr>
      <w:jc w:val="center"/>
      <w:keepNext/>
      <w:outlineLvl w:val="0"/>
    </w:pPr>
    <w:rPr>
      <w:rFonts w:ascii="楷体_GB2312" w:hAnsi="Times New Roman" w:eastAsia="楷体_GB2312" w:cs="Times New Roman"/>
      <w:sz w:val="28"/>
      <w:szCs w:val="28"/>
    </w:rPr>
  </w:style>
  <w:style w:type="character" w:styleId="1012">
    <w:name w:val="标题 1 Char"/>
    <w:next w:val="1012"/>
    <w:link w:val="1011"/>
    <w:rPr>
      <w:rFonts w:ascii="楷体_GB2312" w:hAnsi="Times New Roman" w:eastAsia="楷体_GB2312" w:cs="Times New Roman"/>
      <w:sz w:val="28"/>
      <w:szCs w:val="28"/>
    </w:rPr>
  </w:style>
  <w:style w:type="paragraph" w:styleId="1013">
    <w:name w:val="标题 21"/>
    <w:basedOn w:val="821"/>
    <w:next w:val="1015"/>
    <w:link w:val="1014"/>
    <w:qFormat/>
    <w:pPr>
      <w:jc w:val="center"/>
      <w:keepLines/>
      <w:keepNext/>
      <w:spacing w:before="260" w:after="260" w:line="416" w:lineRule="auto"/>
      <w:outlineLvl w:val="1"/>
    </w:pPr>
    <w:rPr>
      <w:rFonts w:ascii="Arial" w:hAnsi="Arial" w:eastAsia="幼圆" w:cs="Arial"/>
      <w:b/>
      <w:bCs/>
      <w:sz w:val="44"/>
      <w:szCs w:val="44"/>
    </w:rPr>
  </w:style>
  <w:style w:type="character" w:styleId="1014">
    <w:name w:val="标题 2 Char"/>
    <w:next w:val="1014"/>
    <w:link w:val="1013"/>
    <w:rPr>
      <w:rFonts w:ascii="Arial" w:hAnsi="Arial" w:eastAsia="幼圆" w:cs="Arial"/>
      <w:b/>
      <w:bCs/>
      <w:sz w:val="44"/>
      <w:szCs w:val="44"/>
    </w:rPr>
  </w:style>
  <w:style w:type="paragraph" w:styleId="1015">
    <w:name w:val="正文缩进1"/>
    <w:basedOn w:val="821"/>
    <w:next w:val="1015"/>
    <w:link w:val="1016"/>
    <w:pPr>
      <w:ind w:firstLine="420"/>
    </w:pPr>
    <w:rPr>
      <w:szCs w:val="21"/>
    </w:rPr>
  </w:style>
  <w:style w:type="character" w:styleId="1016">
    <w:name w:val="正文缩进 Char"/>
    <w:next w:val="1016"/>
    <w:link w:val="1015"/>
    <w:rPr>
      <w:szCs w:val="21"/>
    </w:rPr>
  </w:style>
  <w:style w:type="paragraph" w:styleId="1017">
    <w:name w:val="标题 31"/>
    <w:basedOn w:val="821"/>
    <w:next w:val="1015"/>
    <w:link w:val="1018"/>
    <w:qFormat/>
    <w:pPr>
      <w:keepLines/>
      <w:keepNext/>
      <w:spacing w:before="260" w:after="260" w:line="416" w:lineRule="auto"/>
      <w:outlineLvl w:val="2"/>
    </w:pPr>
    <w:rPr>
      <w:rFonts w:ascii="Times New Roman" w:hAnsi="Times New Roman" w:eastAsia="宋体" w:cs="Times New Roman"/>
      <w:b/>
      <w:bCs/>
      <w:sz w:val="32"/>
      <w:szCs w:val="32"/>
    </w:rPr>
  </w:style>
  <w:style w:type="character" w:styleId="1018">
    <w:name w:val="标题 3 Char"/>
    <w:next w:val="1018"/>
    <w:link w:val="1017"/>
    <w:rPr>
      <w:rFonts w:ascii="Times New Roman" w:hAnsi="Times New Roman" w:eastAsia="宋体" w:cs="Times New Roman"/>
      <w:b/>
      <w:bCs/>
      <w:sz w:val="32"/>
      <w:szCs w:val="32"/>
    </w:rPr>
  </w:style>
  <w:style w:type="paragraph" w:styleId="1019">
    <w:name w:val="标题 41"/>
    <w:basedOn w:val="821"/>
    <w:next w:val="1015"/>
    <w:link w:val="1020"/>
    <w:qFormat/>
    <w:pPr>
      <w:keepLines/>
      <w:keepNext/>
      <w:spacing w:before="280" w:after="290" w:line="376" w:lineRule="auto"/>
      <w:outlineLvl w:val="3"/>
    </w:pPr>
    <w:rPr>
      <w:rFonts w:ascii="Arial" w:hAnsi="Arial" w:eastAsia="黑体" w:cs="Arial"/>
      <w:b/>
      <w:bCs/>
      <w:sz w:val="28"/>
      <w:szCs w:val="28"/>
    </w:rPr>
  </w:style>
  <w:style w:type="character" w:styleId="1020">
    <w:name w:val="标题 4 Char"/>
    <w:next w:val="1020"/>
    <w:link w:val="1019"/>
    <w:rPr>
      <w:rFonts w:ascii="Arial" w:hAnsi="Arial" w:eastAsia="黑体" w:cs="Arial"/>
      <w:b/>
      <w:bCs/>
      <w:sz w:val="28"/>
      <w:szCs w:val="28"/>
    </w:rPr>
  </w:style>
  <w:style w:type="paragraph" w:styleId="1021">
    <w:name w:val="标题 51"/>
    <w:basedOn w:val="821"/>
    <w:next w:val="1015"/>
    <w:link w:val="1022"/>
    <w:qFormat/>
    <w:pPr>
      <w:keepNext/>
      <w:outlineLvl w:val="4"/>
    </w:pPr>
    <w:rPr>
      <w:rFonts w:ascii="宋体" w:hAnsi="Times New Roman" w:eastAsia="宋体" w:cs="Times New Roman"/>
      <w:color w:val="000000"/>
      <w:sz w:val="28"/>
      <w:szCs w:val="28"/>
    </w:rPr>
  </w:style>
  <w:style w:type="character" w:styleId="1022">
    <w:name w:val="标题 5 Char"/>
    <w:next w:val="1022"/>
    <w:link w:val="1021"/>
    <w:rPr>
      <w:rFonts w:ascii="宋体" w:hAnsi="Times New Roman" w:eastAsia="宋体" w:cs="Times New Roman"/>
      <w:color w:val="000000"/>
      <w:sz w:val="28"/>
      <w:szCs w:val="28"/>
    </w:rPr>
  </w:style>
  <w:style w:type="paragraph" w:styleId="1023">
    <w:name w:val="标题 61"/>
    <w:basedOn w:val="821"/>
    <w:next w:val="821"/>
    <w:link w:val="10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024">
    <w:name w:val="标题 6 Char"/>
    <w:next w:val="1024"/>
    <w:link w:val="1023"/>
    <w:rPr>
      <w:rFonts w:ascii="Arial" w:hAnsi="Arial" w:eastAsia="黑体" w:cs="Times New Roman"/>
      <w:b/>
      <w:bCs/>
      <w:sz w:val="24"/>
      <w:szCs w:val="24"/>
    </w:rPr>
  </w:style>
  <w:style w:type="paragraph" w:styleId="1025">
    <w:name w:val="标题 71"/>
    <w:basedOn w:val="821"/>
    <w:next w:val="821"/>
    <w:link w:val="102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026">
    <w:name w:val="标题 7 Char"/>
    <w:next w:val="1026"/>
    <w:link w:val="1025"/>
    <w:rPr>
      <w:rFonts w:ascii="Times New Roman" w:hAnsi="Times New Roman" w:eastAsia="宋体" w:cs="Times New Roman"/>
      <w:b/>
      <w:bCs/>
      <w:sz w:val="24"/>
      <w:szCs w:val="24"/>
    </w:rPr>
  </w:style>
  <w:style w:type="paragraph" w:styleId="1027">
    <w:name w:val="标题 81"/>
    <w:basedOn w:val="821"/>
    <w:next w:val="821"/>
    <w:link w:val="1028"/>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028">
    <w:name w:val="标题 8 Char"/>
    <w:next w:val="1028"/>
    <w:link w:val="1027"/>
    <w:rPr>
      <w:rFonts w:ascii="Arial" w:hAnsi="Arial" w:eastAsia="黑体" w:cs="Times New Roman"/>
      <w:sz w:val="24"/>
      <w:szCs w:val="24"/>
    </w:rPr>
  </w:style>
  <w:style w:type="paragraph" w:styleId="1029">
    <w:name w:val="标题 91"/>
    <w:basedOn w:val="821"/>
    <w:next w:val="821"/>
    <w:link w:val="103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0">
    <w:name w:val="标题 9 Char"/>
    <w:next w:val="1030"/>
    <w:link w:val="1029"/>
    <w:rPr>
      <w:rFonts w:ascii="Arial" w:hAnsi="Arial" w:eastAsia="黑体" w:cs="Times New Roman"/>
      <w:szCs w:val="21"/>
    </w:rPr>
  </w:style>
  <w:style w:type="character" w:styleId="1031">
    <w:name w:val="默认段落字体1"/>
    <w:next w:val="1031"/>
    <w:link w:val="821"/>
    <w:uiPriority w:val="1"/>
    <w:unhideWhenUsed/>
  </w:style>
  <w:style w:type="table" w:styleId="1032">
    <w:name w:val="普通表格1"/>
    <w:next w:val="1032"/>
    <w:link w:val="821"/>
    <w:uiPriority w:val="99"/>
    <w:unhideWhenUsed/>
    <w:rPr>
      <w:lang w:val="en-US" w:eastAsia="zh-CN" w:bidi="ar-SA"/>
    </w:rPr>
    <w:tblPr/>
  </w:style>
  <w:style w:type="character" w:styleId="1033">
    <w:name w:val="font5 Char"/>
    <w:next w:val="1033"/>
    <w:link w:val="821"/>
    <w:rPr>
      <w:rFonts w:ascii="宋体" w:hAnsi="宋体" w:eastAsia="宋体"/>
      <w:sz w:val="28"/>
      <w:szCs w:val="28"/>
      <w:lang w:val="en-US" w:eastAsia="zh-CN" w:bidi="ar-SA"/>
    </w:rPr>
  </w:style>
  <w:style w:type="character" w:styleId="1034">
    <w:name w:val="批注引用1"/>
    <w:next w:val="1034"/>
    <w:link w:val="821"/>
    <w:semiHidden/>
    <w:rPr>
      <w:sz w:val="21"/>
      <w:szCs w:val="21"/>
    </w:rPr>
  </w:style>
  <w:style w:type="character" w:styleId="1035">
    <w:name w:val="要点1"/>
    <w:next w:val="1035"/>
    <w:link w:val="821"/>
    <w:qFormat/>
    <w:rPr>
      <w:b/>
      <w:bCs/>
    </w:rPr>
  </w:style>
  <w:style w:type="character" w:styleId="1036">
    <w:name w:val="超链接1"/>
    <w:next w:val="1036"/>
    <w:link w:val="821"/>
    <w:rPr>
      <w:color w:val="0000ff"/>
      <w:u w:val="single"/>
    </w:rPr>
  </w:style>
  <w:style w:type="character" w:styleId="1037">
    <w:name w:val="二级目录 Char"/>
    <w:next w:val="1037"/>
    <w:link w:val="1038"/>
    <w:rPr>
      <w:b/>
      <w:sz w:val="30"/>
      <w:szCs w:val="28"/>
    </w:rPr>
  </w:style>
  <w:style w:type="paragraph" w:styleId="1038">
    <w:name w:val="二级目录"/>
    <w:next w:val="821"/>
    <w:link w:val="1037"/>
    <w:pPr>
      <w:numPr>
        <w:ilvl w:val="0"/>
        <w:numId w:val="2"/>
      </w:numPr>
      <w:tabs>
        <w:tab w:val="left" w:pos="907" w:leader="none"/>
        <w:tab w:val="left" w:pos="1145" w:leader="none"/>
      </w:tabs>
      <w:outlineLvl w:val="1"/>
    </w:pPr>
    <w:rPr>
      <w:rFonts w:ascii="Calibri" w:hAnsi="Calibri"/>
      <w:b/>
      <w:sz w:val="30"/>
      <w:szCs w:val="28"/>
      <w:lang w:val="en-US" w:eastAsia="zh-CN" w:bidi="ar-SA"/>
    </w:rPr>
  </w:style>
  <w:style w:type="character" w:styleId="1039">
    <w:name w:val="列出段落 Char,Bullet List Char,numbered Char,FooterText Char,List Paragraph1 Char,Paragraphe de liste1 Char"/>
    <w:next w:val="1039"/>
    <w:link w:val="1040"/>
    <w:rPr>
      <w:rFonts w:ascii="Calibri" w:hAnsi="Calibri"/>
      <w:sz w:val="24"/>
      <w:szCs w:val="24"/>
      <w:lang w:eastAsia="en-US" w:bidi="en-US"/>
    </w:rPr>
  </w:style>
  <w:style w:type="paragraph" w:styleId="1040">
    <w:name w:val="列出段落1"/>
    <w:basedOn w:val="821"/>
    <w:next w:val="1040"/>
    <w:link w:val="1039"/>
    <w:qFormat/>
    <w:pPr>
      <w:contextualSpacing/>
      <w:ind w:left="720"/>
      <w:jc w:val="left"/>
      <w:widowControl/>
    </w:pPr>
    <w:rPr>
      <w:rFonts w:ascii="Calibri" w:hAnsi="Calibri"/>
      <w:sz w:val="24"/>
      <w:szCs w:val="24"/>
      <w:lang w:eastAsia="en-US" w:bidi="en-US"/>
    </w:rPr>
  </w:style>
  <w:style w:type="paragraph" w:styleId="1041">
    <w:name w:val="Body Text(ch)"/>
    <w:basedOn w:val="821"/>
    <w:next w:val="1042"/>
    <w:link w:val="821"/>
    <w:pPr>
      <w:spacing w:after="120"/>
    </w:pPr>
    <w:rPr>
      <w:rFonts w:ascii="宋体" w:hAnsi="Arial" w:eastAsia="宋体" w:cs="Times New Roman"/>
      <w:bCs/>
      <w:iCs/>
      <w:szCs w:val="24"/>
    </w:rPr>
  </w:style>
  <w:style w:type="paragraph" w:styleId="1042">
    <w:name w:val="正文文本1"/>
    <w:basedOn w:val="821"/>
    <w:next w:val="1042"/>
    <w:link w:val="1043"/>
    <w:qFormat/>
    <w:rPr>
      <w:rFonts w:ascii="楷体_GB2312" w:hAnsi="Arial" w:eastAsia="楷体_GB2312" w:cs="Times New Roman"/>
      <w:sz w:val="28"/>
      <w:szCs w:val="28"/>
    </w:rPr>
  </w:style>
  <w:style w:type="character" w:styleId="1043">
    <w:name w:val="正文文本 Char"/>
    <w:next w:val="1043"/>
    <w:link w:val="1042"/>
    <w:rPr>
      <w:rFonts w:ascii="楷体_GB2312" w:hAnsi="Arial" w:eastAsia="楷体_GB2312" w:cs="Times New Roman"/>
      <w:sz w:val="28"/>
      <w:szCs w:val="28"/>
    </w:rPr>
  </w:style>
  <w:style w:type="paragraph" w:styleId="1044">
    <w:name w:val="目录 91"/>
    <w:basedOn w:val="821"/>
    <w:next w:val="821"/>
    <w:link w:val="821"/>
    <w:semiHidden/>
    <w:pPr>
      <w:ind w:left="1680"/>
      <w:jc w:val="left"/>
    </w:pPr>
    <w:rPr>
      <w:rFonts w:ascii="Times New Roman" w:hAnsi="Times New Roman" w:eastAsia="宋体" w:cs="Times New Roman"/>
      <w:szCs w:val="21"/>
    </w:rPr>
  </w:style>
  <w:style w:type="paragraph" w:styleId="1045">
    <w:name w:val="xl27"/>
    <w:basedOn w:val="821"/>
    <w:next w:val="1045"/>
    <w:link w:val="8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6">
    <w:name w:val="正文文本缩进 21"/>
    <w:basedOn w:val="821"/>
    <w:next w:val="1046"/>
    <w:link w:val="1047"/>
    <w:pPr>
      <w:ind w:left="630" w:firstLine="645"/>
    </w:pPr>
    <w:rPr>
      <w:rFonts w:ascii="Arial" w:hAnsi="Arial" w:eastAsia="仿宋_GB2312" w:cs="Arial"/>
      <w:sz w:val="32"/>
      <w:szCs w:val="32"/>
    </w:rPr>
  </w:style>
  <w:style w:type="character" w:styleId="1047">
    <w:name w:val="正文文本缩进 2 Char"/>
    <w:next w:val="1047"/>
    <w:link w:val="1046"/>
    <w:rPr>
      <w:rFonts w:ascii="Arial" w:hAnsi="Arial" w:eastAsia="仿宋_GB2312" w:cs="Arial"/>
      <w:sz w:val="32"/>
      <w:szCs w:val="32"/>
    </w:rPr>
  </w:style>
  <w:style w:type="paragraph" w:styleId="1048">
    <w:name w:val="图表目录1"/>
    <w:basedOn w:val="821"/>
    <w:next w:val="821"/>
    <w:link w:val="821"/>
    <w:semiHidden/>
    <w:pPr>
      <w:ind w:left="840" w:hanging="420"/>
    </w:pPr>
    <w:rPr>
      <w:rFonts w:ascii="Times New Roman" w:hAnsi="Times New Roman" w:eastAsia="宋体" w:cs="Times New Roman"/>
      <w:szCs w:val="21"/>
    </w:rPr>
  </w:style>
  <w:style w:type="paragraph" w:styleId="1049">
    <w:name w:val="xl26"/>
    <w:basedOn w:val="821"/>
    <w:next w:val="1049"/>
    <w:link w:val="8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name w:val="Char"/>
    <w:basedOn w:val="821"/>
    <w:next w:val="1050"/>
    <w:link w:val="821"/>
    <w:pPr>
      <w:ind w:firstLine="200"/>
      <w:tabs>
        <w:tab w:val="left" w:pos="360" w:leader="none"/>
      </w:tabs>
    </w:pPr>
    <w:rPr>
      <w:rFonts w:ascii="Times New Roman" w:hAnsi="Times New Roman" w:eastAsia="宋体" w:cs="Times New Roman"/>
      <w:sz w:val="28"/>
      <w:szCs w:val="30"/>
    </w:rPr>
  </w:style>
  <w:style w:type="paragraph" w:styleId="1051">
    <w:name w:val=" Char"/>
    <w:basedOn w:val="1052"/>
    <w:next w:val="1051"/>
    <w:link w:val="821"/>
    <w:rPr>
      <w:rFonts w:ascii="Tahoma" w:hAnsi="Tahoma"/>
      <w:sz w:val="24"/>
      <w:szCs w:val="24"/>
    </w:rPr>
  </w:style>
  <w:style w:type="paragraph" w:styleId="1052">
    <w:name w:val="文档结构图1"/>
    <w:basedOn w:val="821"/>
    <w:next w:val="1052"/>
    <w:link w:val="1053"/>
    <w:semiHidden/>
    <w:pPr>
      <w:shd w:val="clear" w:color="auto" w:fill="000080"/>
    </w:pPr>
    <w:rPr>
      <w:rFonts w:ascii="Times New Roman" w:hAnsi="Times New Roman" w:eastAsia="宋体" w:cs="Times New Roman"/>
      <w:szCs w:val="21"/>
    </w:rPr>
  </w:style>
  <w:style w:type="character" w:styleId="1053">
    <w:name w:val="文档结构图 Char"/>
    <w:next w:val="1053"/>
    <w:link w:val="1052"/>
    <w:semiHidden/>
    <w:rPr>
      <w:rFonts w:ascii="Times New Roman" w:hAnsi="Times New Roman" w:eastAsia="宋体" w:cs="Times New Roman"/>
      <w:szCs w:val="21"/>
      <w:shd w:val="clear" w:color="auto" w:fill="000080"/>
    </w:rPr>
  </w:style>
  <w:style w:type="paragraph" w:styleId="1054">
    <w:name w:val="批注文字1"/>
    <w:basedOn w:val="821"/>
    <w:next w:val="1054"/>
    <w:link w:val="1055"/>
    <w:unhideWhenUsed/>
    <w:pPr>
      <w:jc w:val="left"/>
    </w:pPr>
  </w:style>
  <w:style w:type="character" w:styleId="1055">
    <w:name w:val="批注文字 Char"/>
    <w:next w:val="1055"/>
    <w:link w:val="1054"/>
    <w:uiPriority w:val="99"/>
    <w:semiHidden/>
  </w:style>
  <w:style w:type="paragraph" w:styleId="1056">
    <w:name w:val="批注主题1"/>
    <w:basedOn w:val="1054"/>
    <w:next w:val="1054"/>
    <w:link w:val="1057"/>
    <w:semiHidden/>
    <w:rPr>
      <w:rFonts w:ascii="Times New Roman" w:hAnsi="Times New Roman" w:eastAsia="宋体" w:cs="Times New Roman"/>
      <w:b/>
      <w:bCs/>
      <w:szCs w:val="21"/>
    </w:rPr>
  </w:style>
  <w:style w:type="character" w:styleId="1057">
    <w:name w:val="批注主题 Char"/>
    <w:next w:val="1057"/>
    <w:link w:val="1056"/>
    <w:semiHidden/>
    <w:rPr>
      <w:rFonts w:ascii="Times New Roman" w:hAnsi="Times New Roman" w:eastAsia="宋体" w:cs="Times New Roman"/>
      <w:b/>
      <w:bCs/>
      <w:szCs w:val="21"/>
    </w:rPr>
  </w:style>
  <w:style w:type="paragraph" w:styleId="1058">
    <w:name w:val="索引 11"/>
    <w:basedOn w:val="821"/>
    <w:next w:val="821"/>
    <w:link w:val="821"/>
    <w:semiHidden/>
    <w:pPr>
      <w:spacing w:line="240" w:lineRule="atLeast"/>
    </w:pPr>
    <w:rPr>
      <w:rFonts w:ascii="Times New Roman" w:hAnsi="Times New Roman" w:eastAsia="宋体" w:cs="Times New Roman"/>
      <w:b/>
      <w:bCs/>
      <w:szCs w:val="21"/>
    </w:rPr>
  </w:style>
  <w:style w:type="paragraph" w:styleId="1059">
    <w:name w:val="普通正文"/>
    <w:basedOn w:val="821"/>
    <w:next w:val="1059"/>
    <w:link w:val="821"/>
    <w:pPr>
      <w:ind w:firstLine="480"/>
      <w:jc w:val="left"/>
      <w:spacing w:before="120" w:after="120" w:line="360" w:lineRule="auto"/>
    </w:pPr>
    <w:rPr>
      <w:rFonts w:ascii="Arial" w:hAnsi="Arial" w:eastAsia="宋体" w:cs="Times New Roman"/>
      <w:sz w:val="24"/>
      <w:szCs w:val="24"/>
    </w:rPr>
  </w:style>
  <w:style w:type="paragraph" w:styleId="1060">
    <w:name w:val="table_lines"/>
    <w:basedOn w:val="821"/>
    <w:next w:val="1060"/>
    <w:link w:val="821"/>
    <w:pPr>
      <w:jc w:val="left"/>
      <w:widowControl/>
    </w:pPr>
    <w:rPr>
      <w:rFonts w:ascii="Times New Roman" w:hAnsi="Times New Roman" w:eastAsia="宋体" w:cs="Times New Roman"/>
      <w:sz w:val="20"/>
      <w:szCs w:val="20"/>
      <w:lang w:val="de-DE" w:eastAsia="de-DE"/>
    </w:rPr>
  </w:style>
  <w:style w:type="paragraph" w:styleId="1061">
    <w:name w:val="附录1"/>
    <w:next w:val="1061"/>
    <w:link w:val="821"/>
    <w:pPr>
      <w:numPr>
        <w:ilvl w:val="0"/>
        <w:numId w:val="2"/>
      </w:numPr>
      <w:spacing w:before="240" w:line="600" w:lineRule="atLeast"/>
      <w:tabs>
        <w:tab w:val="left" w:pos="907" w:leader="none"/>
      </w:tabs>
    </w:pPr>
    <w:rPr>
      <w:b/>
      <w:i/>
      <w:sz w:val="28"/>
      <w:lang w:val="en-US" w:eastAsia="zh-CN" w:bidi="ar-SA"/>
    </w:rPr>
  </w:style>
  <w:style w:type="paragraph" w:styleId="1062">
    <w:name w:val="目录 31"/>
    <w:basedOn w:val="821"/>
    <w:next w:val="821"/>
    <w:link w:val="821"/>
    <w:semiHidden/>
    <w:pPr>
      <w:ind w:left="420"/>
      <w:jc w:val="left"/>
    </w:pPr>
    <w:rPr>
      <w:rFonts w:ascii="Times New Roman" w:hAnsi="Times New Roman" w:eastAsia="宋体" w:cs="Times New Roman"/>
      <w:i/>
      <w:iCs/>
      <w:szCs w:val="24"/>
    </w:rPr>
  </w:style>
  <w:style w:type="paragraph" w:styleId="1063">
    <w:name w:val="正文文本缩进1"/>
    <w:basedOn w:val="821"/>
    <w:next w:val="1063"/>
    <w:link w:val="1064"/>
    <w:unhideWhenUsed/>
    <w:pPr>
      <w:ind w:left="420"/>
      <w:spacing w:after="120"/>
    </w:pPr>
  </w:style>
  <w:style w:type="character" w:styleId="1064">
    <w:name w:val="正文文本缩进 Char"/>
    <w:next w:val="1064"/>
    <w:link w:val="1063"/>
    <w:uiPriority w:val="99"/>
    <w:semiHidden/>
  </w:style>
  <w:style w:type="paragraph" w:styleId="1065">
    <w:name w:val="正文首行缩进 21"/>
    <w:basedOn w:val="1063"/>
    <w:next w:val="1065"/>
    <w:link w:val="1066"/>
    <w:pPr>
      <w:ind w:left="0" w:firstLine="420"/>
      <w:spacing w:after="0" w:line="360" w:lineRule="auto"/>
    </w:pPr>
    <w:rPr>
      <w:rFonts w:ascii="宋体" w:hAnsi="宋体" w:eastAsia="宋体" w:cs="Times New Roman"/>
      <w:szCs w:val="20"/>
    </w:rPr>
  </w:style>
  <w:style w:type="character" w:styleId="1066">
    <w:name w:val="正文首行缩进 2 Char"/>
    <w:next w:val="1066"/>
    <w:link w:val="1065"/>
    <w:rPr>
      <w:rFonts w:ascii="宋体" w:hAnsi="宋体" w:eastAsia="宋体" w:cs="Times New Roman"/>
      <w:szCs w:val="20"/>
    </w:rPr>
  </w:style>
  <w:style w:type="paragraph" w:styleId="1067">
    <w:name w:val="正文文本缩进 31"/>
    <w:basedOn w:val="821"/>
    <w:next w:val="1067"/>
    <w:link w:val="1068"/>
    <w:pPr>
      <w:ind w:left="645" w:firstLine="645"/>
    </w:pPr>
    <w:rPr>
      <w:rFonts w:ascii="Arial" w:hAnsi="Arial" w:eastAsia="仿宋_GB2312" w:cs="Arial"/>
      <w:color w:val="ffff00"/>
      <w:sz w:val="32"/>
      <w:szCs w:val="32"/>
    </w:rPr>
  </w:style>
  <w:style w:type="character" w:styleId="1068">
    <w:name w:val="正文文本缩进 3 Char"/>
    <w:next w:val="1068"/>
    <w:link w:val="1067"/>
    <w:rPr>
      <w:rFonts w:ascii="Arial" w:hAnsi="Arial" w:eastAsia="仿宋_GB2312" w:cs="Arial"/>
      <w:color w:val="ffff00"/>
      <w:sz w:val="32"/>
      <w:szCs w:val="32"/>
    </w:rPr>
  </w:style>
  <w:style w:type="paragraph" w:styleId="1069">
    <w:name w:val="目录 61"/>
    <w:basedOn w:val="821"/>
    <w:next w:val="821"/>
    <w:link w:val="821"/>
    <w:semiHidden/>
    <w:pPr>
      <w:ind w:left="1050"/>
      <w:jc w:val="left"/>
    </w:pPr>
    <w:rPr>
      <w:rFonts w:ascii="Times New Roman" w:hAnsi="Times New Roman" w:eastAsia="宋体" w:cs="Times New Roman"/>
      <w:szCs w:val="21"/>
    </w:rPr>
  </w:style>
  <w:style w:type="paragraph" w:styleId="1070">
    <w:name w:val="font7"/>
    <w:basedOn w:val="821"/>
    <w:next w:val="1070"/>
    <w:link w:val="821"/>
    <w:pPr>
      <w:jc w:val="left"/>
      <w:spacing w:before="100" w:beforeAutospacing="1" w:after="100" w:afterAutospacing="1"/>
      <w:widowControl/>
    </w:pPr>
    <w:rPr>
      <w:rFonts w:hint="eastAsia" w:ascii="宋体" w:hAnsi="宋体" w:eastAsia="宋体" w:cs="Times New Roman"/>
      <w:sz w:val="18"/>
      <w:szCs w:val="18"/>
    </w:rPr>
  </w:style>
  <w:style w:type="paragraph" w:styleId="1071">
    <w:name w:val=" Char Char Char Char"/>
    <w:basedOn w:val="1052"/>
    <w:next w:val="1071"/>
    <w:link w:val="821"/>
    <w:pPr>
      <w:spacing w:line="360" w:lineRule="auto"/>
    </w:pPr>
    <w:rPr>
      <w:rFonts w:ascii="Tahoma" w:hAnsi="Tahoma"/>
      <w:sz w:val="24"/>
      <w:szCs w:val="24"/>
    </w:rPr>
  </w:style>
  <w:style w:type="paragraph" w:styleId="1072">
    <w:name w:val="正文文本 31"/>
    <w:basedOn w:val="821"/>
    <w:next w:val="1072"/>
    <w:link w:val="1073"/>
    <w:rPr>
      <w:rFonts w:ascii="仿宋_GB2312" w:hAnsi="Arial" w:eastAsia="仿宋_GB2312" w:cs="Times New Roman"/>
      <w:sz w:val="32"/>
      <w:szCs w:val="32"/>
    </w:rPr>
  </w:style>
  <w:style w:type="character" w:styleId="1073">
    <w:name w:val="正文文本 3 Char"/>
    <w:next w:val="1073"/>
    <w:link w:val="1072"/>
    <w:rPr>
      <w:rFonts w:ascii="仿宋_GB2312" w:hAnsi="Arial" w:eastAsia="仿宋_GB2312" w:cs="Times New Roman"/>
      <w:sz w:val="32"/>
      <w:szCs w:val="32"/>
    </w:rPr>
  </w:style>
  <w:style w:type="paragraph" w:styleId="1074">
    <w:name w:val="普通(网站)1"/>
    <w:basedOn w:val="821"/>
    <w:next w:val="1074"/>
    <w:link w:val="821"/>
    <w:uiPriority w:val="99"/>
    <w:pPr>
      <w:jc w:val="left"/>
      <w:spacing w:before="100" w:beforeAutospacing="1" w:after="100" w:afterAutospacing="1"/>
      <w:widowControl/>
    </w:pPr>
    <w:rPr>
      <w:rFonts w:ascii="宋体" w:hAnsi="宋体" w:eastAsia="宋体" w:cs="宋体"/>
      <w:sz w:val="24"/>
      <w:szCs w:val="24"/>
    </w:rPr>
  </w:style>
  <w:style w:type="paragraph" w:styleId="1075">
    <w:name w:val="目录 41"/>
    <w:basedOn w:val="821"/>
    <w:next w:val="821"/>
    <w:link w:val="821"/>
    <w:semiHidden/>
    <w:pPr>
      <w:ind w:left="630"/>
      <w:jc w:val="left"/>
    </w:pPr>
    <w:rPr>
      <w:rFonts w:ascii="Times New Roman" w:hAnsi="Times New Roman" w:eastAsia="宋体" w:cs="Times New Roman"/>
      <w:szCs w:val="21"/>
    </w:rPr>
  </w:style>
  <w:style w:type="paragraph" w:styleId="1076">
    <w:name w:val="列出段落2"/>
    <w:basedOn w:val="821"/>
    <w:next w:val="1076"/>
    <w:link w:val="821"/>
    <w:qFormat/>
    <w:pPr>
      <w:contextualSpacing/>
      <w:ind w:left="720"/>
      <w:jc w:val="left"/>
      <w:widowControl/>
    </w:pPr>
    <w:rPr>
      <w:rFonts w:ascii="Calibri" w:hAnsi="Calibri" w:eastAsia="宋体" w:cs="Times New Roman"/>
      <w:sz w:val="24"/>
      <w:szCs w:val="24"/>
      <w:lang w:eastAsia="en-US" w:bidi="en-US"/>
    </w:rPr>
  </w:style>
  <w:style w:type="paragraph" w:styleId="1077">
    <w:name w:val="4"/>
    <w:basedOn w:val="821"/>
    <w:next w:val="1067"/>
    <w:link w:val="821"/>
    <w:pPr>
      <w:ind w:firstLine="420"/>
      <w:spacing w:line="360" w:lineRule="auto"/>
    </w:pPr>
    <w:rPr>
      <w:rFonts w:ascii="Times New Roman" w:hAnsi="Times New Roman" w:eastAsia="宋体" w:cs="Times New Roman"/>
      <w:color w:val="ff0000"/>
      <w:sz w:val="24"/>
      <w:szCs w:val="24"/>
    </w:rPr>
  </w:style>
  <w:style w:type="paragraph" w:styleId="1078">
    <w:name w:val="普通 (Web)"/>
    <w:basedOn w:val="821"/>
    <w:next w:val="1078"/>
    <w:link w:val="821"/>
    <w:pPr>
      <w:jc w:val="left"/>
      <w:spacing w:before="100" w:beforeAutospacing="1" w:after="100" w:afterAutospacing="1"/>
      <w:widowControl/>
    </w:pPr>
    <w:rPr>
      <w:rFonts w:ascii="宋体" w:hAnsi="宋体" w:eastAsia="宋体" w:cs="Times New Roman"/>
      <w:sz w:val="24"/>
      <w:szCs w:val="24"/>
    </w:rPr>
  </w:style>
  <w:style w:type="paragraph" w:styleId="1079">
    <w:name w:val=" Char Char Char Char Char Char Char Char Char Char"/>
    <w:basedOn w:val="821"/>
    <w:next w:val="1079"/>
    <w:link w:val="821"/>
    <w:pPr>
      <w:spacing w:line="360" w:lineRule="auto"/>
    </w:pPr>
    <w:rPr>
      <w:rFonts w:ascii="Times New Roman" w:hAnsi="Times New Roman" w:eastAsia="宋体" w:cs="Times New Roman"/>
      <w:sz w:val="24"/>
      <w:szCs w:val="20"/>
    </w:rPr>
  </w:style>
  <w:style w:type="paragraph" w:styleId="1080">
    <w:name w:val="列表 21"/>
    <w:basedOn w:val="821"/>
    <w:next w:val="1080"/>
    <w:link w:val="821"/>
    <w:pPr>
      <w:ind w:left="100" w:hanging="200"/>
    </w:pPr>
    <w:rPr>
      <w:rFonts w:ascii="Times New Roman" w:hAnsi="Times New Roman" w:eastAsia="宋体" w:cs="Times New Roman"/>
      <w:szCs w:val="21"/>
    </w:rPr>
  </w:style>
  <w:style w:type="paragraph" w:styleId="1081">
    <w:name w:val="正文首行缩进1"/>
    <w:basedOn w:val="821"/>
    <w:next w:val="1081"/>
    <w:link w:val="1082"/>
    <w:pPr>
      <w:ind w:firstLine="200"/>
      <w:spacing w:line="360" w:lineRule="auto"/>
    </w:pPr>
    <w:rPr>
      <w:rFonts w:ascii="仿宋_GB2312" w:hAnsi="Times New Roman" w:eastAsia="仿宋_GB2312" w:cs="Times New Roman"/>
      <w:sz w:val="30"/>
      <w:szCs w:val="30"/>
    </w:rPr>
  </w:style>
  <w:style w:type="character" w:styleId="1082">
    <w:name w:val="正文首行缩进 Char"/>
    <w:next w:val="1082"/>
    <w:link w:val="1081"/>
    <w:rPr>
      <w:rFonts w:ascii="仿宋_GB2312" w:hAnsi="Times New Roman" w:eastAsia="仿宋_GB2312" w:cs="Times New Roman"/>
      <w:sz w:val="30"/>
      <w:szCs w:val="30"/>
    </w:rPr>
  </w:style>
  <w:style w:type="paragraph" w:styleId="1083">
    <w:name w:val="样式1"/>
    <w:basedOn w:val="821"/>
    <w:next w:val="1083"/>
    <w:link w:val="821"/>
    <w:pPr>
      <w:numPr>
        <w:ilvl w:val="0"/>
        <w:numId w:val="3"/>
      </w:numPr>
      <w:tabs>
        <w:tab w:val="left" w:pos="709" w:leader="none"/>
      </w:tabs>
    </w:pPr>
    <w:rPr>
      <w:rFonts w:ascii="宋体" w:hAnsi="宋体" w:eastAsia="宋体" w:cs="Times New Roman"/>
      <w:szCs w:val="21"/>
    </w:rPr>
  </w:style>
  <w:style w:type="paragraph" w:styleId="1084">
    <w:name w:val="font6"/>
    <w:basedOn w:val="821"/>
    <w:next w:val="1084"/>
    <w:link w:val="821"/>
    <w:pPr>
      <w:jc w:val="left"/>
      <w:spacing w:before="100" w:beforeAutospacing="1" w:after="100" w:afterAutospacing="1"/>
      <w:widowControl/>
    </w:pPr>
    <w:rPr>
      <w:rFonts w:hint="eastAsia" w:ascii="宋体" w:hAnsi="宋体" w:eastAsia="宋体" w:cs="Times New Roman"/>
      <w:sz w:val="28"/>
      <w:szCs w:val="28"/>
      <w:u w:val="single"/>
    </w:rPr>
  </w:style>
  <w:style w:type="paragraph" w:styleId="1085">
    <w:name w:val="目录 51"/>
    <w:basedOn w:val="821"/>
    <w:next w:val="821"/>
    <w:link w:val="821"/>
    <w:semiHidden/>
    <w:pPr>
      <w:ind w:left="840"/>
      <w:jc w:val="left"/>
    </w:pPr>
    <w:rPr>
      <w:rFonts w:ascii="Times New Roman" w:hAnsi="Times New Roman" w:eastAsia="宋体" w:cs="Times New Roman"/>
      <w:szCs w:val="21"/>
    </w:rPr>
  </w:style>
  <w:style w:type="paragraph" w:styleId="1086">
    <w:name w:val="目录 11"/>
    <w:basedOn w:val="821"/>
    <w:next w:val="821"/>
    <w:link w:val="82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87">
    <w:name w:val="纯文本1"/>
    <w:basedOn w:val="821"/>
    <w:next w:val="1087"/>
    <w:link w:val="1088"/>
    <w:rPr>
      <w:rFonts w:ascii="宋体" w:hAnsi="Courier New" w:eastAsia="宋体" w:cs="Courier New"/>
      <w:szCs w:val="21"/>
    </w:rPr>
  </w:style>
  <w:style w:type="character" w:styleId="1088">
    <w:name w:val="纯文本 Char"/>
    <w:next w:val="1088"/>
    <w:link w:val="1087"/>
    <w:rPr>
      <w:rFonts w:ascii="宋体" w:hAnsi="Courier New" w:eastAsia="宋体" w:cs="Courier New"/>
      <w:szCs w:val="21"/>
    </w:rPr>
  </w:style>
  <w:style w:type="paragraph" w:styleId="1089">
    <w:name w:val="批注框文本1"/>
    <w:basedOn w:val="821"/>
    <w:next w:val="1089"/>
    <w:link w:val="1090"/>
    <w:semiHidden/>
    <w:rPr>
      <w:rFonts w:ascii="Times New Roman" w:hAnsi="Times New Roman" w:eastAsia="宋体" w:cs="Times New Roman"/>
      <w:sz w:val="18"/>
      <w:szCs w:val="18"/>
    </w:rPr>
  </w:style>
  <w:style w:type="character" w:styleId="1090">
    <w:name w:val="批注框文本 Char"/>
    <w:next w:val="1090"/>
    <w:link w:val="1089"/>
    <w:semiHidden/>
    <w:rPr>
      <w:rFonts w:ascii="Times New Roman" w:hAnsi="Times New Roman" w:eastAsia="宋体" w:cs="Times New Roman"/>
      <w:sz w:val="18"/>
      <w:szCs w:val="18"/>
    </w:rPr>
  </w:style>
  <w:style w:type="paragraph" w:styleId="1091">
    <w:name w:val="xl25"/>
    <w:basedOn w:val="821"/>
    <w:next w:val="1091"/>
    <w:link w:val="8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name w:val="列表1"/>
    <w:basedOn w:val="821"/>
    <w:next w:val="1092"/>
    <w:link w:val="821"/>
    <w:pPr>
      <w:ind w:left="200" w:hanging="200"/>
    </w:pPr>
    <w:rPr>
      <w:rFonts w:ascii="Times New Roman" w:hAnsi="Times New Roman" w:eastAsia="宋体" w:cs="Times New Roman"/>
      <w:szCs w:val="21"/>
    </w:rPr>
  </w:style>
  <w:style w:type="paragraph" w:styleId="1093">
    <w:name w:val="图标"/>
    <w:basedOn w:val="821"/>
    <w:next w:val="821"/>
    <w:link w:val="82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4">
    <w:name w:val="日期1"/>
    <w:basedOn w:val="821"/>
    <w:next w:val="821"/>
    <w:link w:val="1095"/>
    <w:rPr>
      <w:rFonts w:ascii="Times New Roman" w:hAnsi="Times New Roman" w:eastAsia="宋体" w:cs="Times New Roman"/>
      <w:sz w:val="24"/>
      <w:szCs w:val="24"/>
    </w:rPr>
  </w:style>
  <w:style w:type="character" w:styleId="1095">
    <w:name w:val="日期 Char"/>
    <w:next w:val="1095"/>
    <w:link w:val="1094"/>
    <w:rPr>
      <w:rFonts w:ascii="Times New Roman" w:hAnsi="Times New Roman" w:eastAsia="宋体" w:cs="Times New Roman"/>
      <w:sz w:val="24"/>
      <w:szCs w:val="24"/>
    </w:rPr>
  </w:style>
  <w:style w:type="paragraph" w:styleId="1096">
    <w:name w:val="标题3"/>
    <w:basedOn w:val="821"/>
    <w:next w:val="821"/>
    <w:link w:val="821"/>
    <w:pPr>
      <w:ind w:firstLine="624"/>
      <w:spacing w:line="590" w:lineRule="atLeast"/>
    </w:pPr>
    <w:rPr>
      <w:rFonts w:ascii="方正黑体_GBK" w:hAnsi="Times New Roman" w:eastAsia="方正黑体_GBK" w:cs="Times New Roman"/>
      <w:sz w:val="32"/>
      <w:szCs w:val="32"/>
    </w:rPr>
  </w:style>
  <w:style w:type="paragraph" w:styleId="1097">
    <w:name w:val="xl24"/>
    <w:basedOn w:val="821"/>
    <w:next w:val="1097"/>
    <w:link w:val="8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8">
    <w:name w:val="xl29"/>
    <w:basedOn w:val="821"/>
    <w:next w:val="1098"/>
    <w:link w:val="82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9">
    <w:name w:val="Char Char Char Char Char Char Char Char"/>
    <w:basedOn w:val="821"/>
    <w:next w:val="1099"/>
    <w:link w:val="821"/>
    <w:pPr>
      <w:jc w:val="left"/>
      <w:spacing w:after="160" w:line="240" w:lineRule="exact"/>
      <w:widowControl/>
    </w:pPr>
    <w:rPr>
      <w:rFonts w:ascii="Verdana" w:hAnsi="Verdana" w:eastAsia="宋体" w:cs="Times New Roman"/>
      <w:sz w:val="20"/>
      <w:szCs w:val="20"/>
      <w:lang w:eastAsia="en-US"/>
    </w:rPr>
  </w:style>
  <w:style w:type="paragraph" w:styleId="1100">
    <w:name w:val="正文文本 21"/>
    <w:basedOn w:val="821"/>
    <w:next w:val="1100"/>
    <w:link w:val="1101"/>
    <w:pPr>
      <w:jc w:val="center"/>
      <w:widowControl/>
    </w:pPr>
    <w:rPr>
      <w:rFonts w:ascii="楷体_GB2312" w:hAnsi="Times New Roman" w:eastAsia="楷体_GB2312" w:cs="Times New Roman"/>
      <w:sz w:val="28"/>
      <w:szCs w:val="28"/>
    </w:rPr>
  </w:style>
  <w:style w:type="character" w:styleId="1101">
    <w:name w:val="正文文本 2 Char"/>
    <w:next w:val="1101"/>
    <w:link w:val="1100"/>
    <w:rPr>
      <w:rFonts w:ascii="楷体_GB2312" w:hAnsi="Times New Roman" w:eastAsia="楷体_GB2312" w:cs="Times New Roman"/>
      <w:sz w:val="28"/>
      <w:szCs w:val="28"/>
    </w:rPr>
  </w:style>
  <w:style w:type="paragraph" w:styleId="1102">
    <w:name w:val="列表 31"/>
    <w:basedOn w:val="821"/>
    <w:next w:val="1102"/>
    <w:link w:val="821"/>
    <w:pPr>
      <w:ind w:left="100" w:hanging="200"/>
    </w:pPr>
    <w:rPr>
      <w:rFonts w:ascii="Times New Roman" w:hAnsi="Times New Roman" w:eastAsia="宋体" w:cs="Times New Roman"/>
      <w:szCs w:val="21"/>
    </w:rPr>
  </w:style>
  <w:style w:type="paragraph" w:styleId="1103">
    <w:name w:val="目录 71"/>
    <w:basedOn w:val="821"/>
    <w:next w:val="821"/>
    <w:link w:val="821"/>
    <w:semiHidden/>
    <w:pPr>
      <w:ind w:left="1260"/>
      <w:jc w:val="left"/>
    </w:pPr>
    <w:rPr>
      <w:rFonts w:ascii="Times New Roman" w:hAnsi="Times New Roman" w:eastAsia="宋体" w:cs="Times New Roman"/>
      <w:szCs w:val="21"/>
    </w:rPr>
  </w:style>
  <w:style w:type="paragraph" w:styleId="1104">
    <w:name w:val="目录 21"/>
    <w:basedOn w:val="821"/>
    <w:next w:val="821"/>
    <w:link w:val="821"/>
    <w:semiHidden/>
    <w:pPr>
      <w:ind w:left="210"/>
      <w:jc w:val="left"/>
    </w:pPr>
    <w:rPr>
      <w:rFonts w:ascii="Times New Roman" w:hAnsi="Times New Roman" w:eastAsia="宋体" w:cs="Times New Roman"/>
      <w:smallCaps/>
      <w:szCs w:val="24"/>
    </w:rPr>
  </w:style>
  <w:style w:type="paragraph" w:styleId="1105">
    <w:name w:val="xl28"/>
    <w:basedOn w:val="821"/>
    <w:next w:val="1105"/>
    <w:link w:val="8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06">
    <w:name w:val="页眉1"/>
    <w:basedOn w:val="821"/>
    <w:next w:val="1106"/>
    <w:link w:val="11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07">
    <w:name w:val="页眉 Char"/>
    <w:next w:val="1107"/>
    <w:link w:val="1106"/>
    <w:rPr>
      <w:rFonts w:ascii="Times New Roman" w:hAnsi="Times New Roman" w:eastAsia="宋体" w:cs="Times New Roman"/>
      <w:sz w:val="18"/>
      <w:szCs w:val="18"/>
    </w:rPr>
  </w:style>
  <w:style w:type="paragraph" w:styleId="1108">
    <w:name w:val="页脚1"/>
    <w:basedOn w:val="821"/>
    <w:next w:val="1108"/>
    <w:link w:val="1109"/>
    <w:pPr>
      <w:jc w:val="left"/>
      <w:tabs>
        <w:tab w:val="center" w:pos="4153" w:leader="none"/>
        <w:tab w:val="right" w:pos="8306" w:leader="none"/>
      </w:tabs>
    </w:pPr>
    <w:rPr>
      <w:rFonts w:ascii="Times New Roman" w:hAnsi="Times New Roman" w:eastAsia="宋体" w:cs="Times New Roman"/>
      <w:sz w:val="18"/>
      <w:szCs w:val="18"/>
    </w:rPr>
  </w:style>
  <w:style w:type="character" w:styleId="1109">
    <w:name w:val="页脚 Char"/>
    <w:next w:val="1109"/>
    <w:link w:val="1108"/>
    <w:rPr>
      <w:rFonts w:ascii="Times New Roman" w:hAnsi="Times New Roman" w:eastAsia="宋体" w:cs="Times New Roman"/>
      <w:sz w:val="18"/>
      <w:szCs w:val="18"/>
    </w:rPr>
  </w:style>
  <w:style w:type="paragraph" w:styleId="1110">
    <w:name w:val=" Char Char Char Char Char Char Char Char"/>
    <w:basedOn w:val="821"/>
    <w:next w:val="1110"/>
    <w:link w:val="821"/>
    <w:pPr>
      <w:jc w:val="left"/>
      <w:spacing w:after="160" w:line="240" w:lineRule="exact"/>
      <w:widowControl/>
    </w:pPr>
    <w:rPr>
      <w:rFonts w:ascii="Verdana" w:hAnsi="Verdana" w:eastAsia="宋体" w:cs="Times New Roman"/>
      <w:sz w:val="20"/>
      <w:szCs w:val="20"/>
      <w:lang w:eastAsia="en-US"/>
    </w:rPr>
  </w:style>
  <w:style w:type="paragraph" w:styleId="1111">
    <w:name w:val="目录 81"/>
    <w:basedOn w:val="821"/>
    <w:next w:val="821"/>
    <w:link w:val="821"/>
    <w:semiHidden/>
    <w:pPr>
      <w:ind w:left="1470"/>
      <w:jc w:val="left"/>
    </w:pPr>
    <w:rPr>
      <w:rFonts w:ascii="Times New Roman" w:hAnsi="Times New Roman" w:eastAsia="宋体" w:cs="Times New Roman"/>
      <w:szCs w:val="21"/>
    </w:rPr>
  </w:style>
  <w:style w:type="paragraph" w:styleId="1112">
    <w:name w:val="xl30"/>
    <w:basedOn w:val="821"/>
    <w:next w:val="1112"/>
    <w:link w:val="821"/>
    <w:pPr>
      <w:jc w:val="center"/>
      <w:spacing w:before="100" w:beforeAutospacing="1" w:after="100" w:afterAutospacing="1"/>
      <w:widowControl/>
    </w:pPr>
    <w:rPr>
      <w:rFonts w:ascii="宋体" w:hAnsi="宋体" w:eastAsia="宋体" w:cs="Times New Roman"/>
      <w:b/>
      <w:bCs/>
      <w:sz w:val="36"/>
      <w:szCs w:val="36"/>
    </w:rPr>
  </w:style>
  <w:style w:type="paragraph" w:styleId="1113">
    <w:name w:val="Char Char Char Char"/>
    <w:basedOn w:val="1052"/>
    <w:next w:val="1113"/>
    <w:link w:val="821"/>
    <w:pPr>
      <w:spacing w:line="360" w:lineRule="auto"/>
    </w:pPr>
    <w:rPr>
      <w:rFonts w:ascii="Tahoma" w:hAnsi="Tahoma"/>
      <w:sz w:val="24"/>
      <w:szCs w:val="24"/>
    </w:rPr>
  </w:style>
  <w:style w:type="paragraph" w:styleId="1114">
    <w:name w:val="table_1stline"/>
    <w:basedOn w:val="821"/>
    <w:next w:val="1114"/>
    <w:link w:val="821"/>
    <w:pPr>
      <w:jc w:val="left"/>
      <w:spacing w:before="120"/>
      <w:widowControl/>
    </w:pPr>
    <w:rPr>
      <w:rFonts w:ascii="Times New Roman" w:hAnsi="Times New Roman" w:eastAsia="宋体" w:cs="Times New Roman"/>
      <w:bCs/>
      <w:sz w:val="20"/>
      <w:szCs w:val="20"/>
      <w:lang w:val="de-DE" w:eastAsia="de-DE"/>
    </w:rPr>
  </w:style>
  <w:style w:type="paragraph" w:styleId="1115">
    <w:name w:val="font5"/>
    <w:basedOn w:val="821"/>
    <w:next w:val="1115"/>
    <w:link w:val="821"/>
    <w:pPr>
      <w:jc w:val="left"/>
      <w:spacing w:before="100" w:beforeAutospacing="1" w:after="100" w:afterAutospacing="1"/>
      <w:widowControl/>
    </w:pPr>
    <w:rPr>
      <w:rFonts w:hint="eastAsia" w:ascii="宋体" w:hAnsi="宋体" w:eastAsia="宋体" w:cs="Times New Roman"/>
      <w:sz w:val="28"/>
      <w:szCs w:val="28"/>
    </w:rPr>
  </w:style>
  <w:style w:type="paragraph" w:styleId="1116">
    <w:name w:val="标题1"/>
    <w:basedOn w:val="821"/>
    <w:next w:val="821"/>
    <w:link w:val="82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7">
    <w:name w:val="修订"/>
    <w:next w:val="1117"/>
    <w:link w:val="821"/>
    <w:uiPriority w:val="99"/>
    <w:semiHidden/>
    <w:rPr>
      <w:sz w:val="21"/>
      <w:szCs w:val="21"/>
      <w:lang w:val="en-US" w:eastAsia="zh-CN" w:bidi="ar-SA"/>
    </w:rPr>
  </w:style>
  <w:style w:type="table" w:styleId="1118">
    <w:name w:val="网格型1"/>
    <w:basedOn w:val="1032"/>
    <w:next w:val="1118"/>
    <w:link w:val="821"/>
    <w:pPr>
      <w:jc w:val="both"/>
      <w:widowControl w:val="off"/>
    </w:pPr>
    <w:rPr>
      <w:rFonts w:ascii="Times New Roman" w:hAnsi="Times New Roman" w:eastAsia="宋体" w:cs="Times New Roman"/>
      <w:sz w:val="20"/>
      <w:szCs w:val="20"/>
    </w:rPr>
    <w:tblPr/>
  </w:style>
  <w:style w:type="paragraph" w:styleId="1119">
    <w:name w:val="无间隔1"/>
    <w:next w:val="1119"/>
    <w:link w:val="821"/>
    <w:uiPriority w:val="99"/>
    <w:qFormat/>
    <w:pPr>
      <w:jc w:val="both"/>
      <w:widowControl w:val="off"/>
    </w:pPr>
    <w:rPr>
      <w:sz w:val="21"/>
      <w:szCs w:val="21"/>
      <w:lang w:val="en-US" w:eastAsia="zh-CN" w:bidi="ar-SA"/>
    </w:rPr>
  </w:style>
  <w:style w:type="paragraph" w:styleId="1120">
    <w:name w:val="索引 41"/>
    <w:basedOn w:val="821"/>
    <w:next w:val="821"/>
    <w:link w:val="821"/>
    <w:uiPriority w:val="99"/>
    <w:qFormat/>
    <w:pPr>
      <w:ind w:left="600"/>
    </w:pPr>
  </w:style>
  <w:style w:type="paragraph" w:styleId="1121">
    <w:name w:val="正文文本缩进 211"/>
    <w:basedOn w:val="821"/>
    <w:next w:val="1121"/>
    <w:link w:val="821"/>
    <w:qFormat/>
    <w:pPr>
      <w:ind w:firstLine="630"/>
      <w:spacing w:before="120"/>
      <w:tabs>
        <w:tab w:val="left" w:pos="0" w:leader="none"/>
      </w:tabs>
    </w:pPr>
    <w:rPr>
      <w:bCs/>
    </w:rPr>
  </w:style>
  <w:style w:type="character" w:styleId="1122">
    <w:name w:val="font11"/>
    <w:next w:val="1122"/>
    <w:link w:val="821"/>
    <w:qFormat/>
    <w:rPr>
      <w:rFonts w:hint="eastAsia" w:ascii="宋体" w:hAnsi="宋体" w:eastAsia="宋体" w:cs="宋体"/>
      <w:color w:val="000000"/>
      <w:sz w:val="20"/>
      <w:szCs w:val="20"/>
      <w:u w:val="none"/>
    </w:rPr>
  </w:style>
  <w:style w:type="character" w:styleId="1123">
    <w:name w:val="font71"/>
    <w:next w:val="1123"/>
    <w:link w:val="821"/>
    <w:qFormat/>
    <w:rPr>
      <w:rFonts w:hint="eastAsia" w:ascii="宋体" w:hAnsi="宋体" w:eastAsia="宋体" w:cs="宋体"/>
      <w:b/>
      <w:bCs/>
      <w:color w:val="000000"/>
      <w:sz w:val="24"/>
      <w:szCs w:val="24"/>
      <w:u w:val="none"/>
    </w:rPr>
  </w:style>
  <w:style w:type="character" w:styleId="1124">
    <w:name w:val="font81"/>
    <w:next w:val="1124"/>
    <w:link w:val="821"/>
    <w:qFormat/>
    <w:rPr>
      <w:rFonts w:hint="eastAsia" w:ascii="宋体" w:hAnsi="宋体" w:eastAsia="宋体" w:cs="宋体"/>
      <w:color w:val="000000"/>
      <w:sz w:val="21"/>
      <w:szCs w:val="21"/>
      <w:u w:val="none"/>
    </w:rPr>
  </w:style>
  <w:style w:type="character" w:styleId="1125">
    <w:name w:val="标题 2 字符"/>
    <w:next w:val="1125"/>
    <w:link w:val="1126"/>
    <w:qFormat/>
    <w:rPr>
      <w:rFonts w:ascii="Arial" w:hAnsi="Arial" w:eastAsia="方正幼线_GBK" w:cs="Arial"/>
      <w:b/>
      <w:bCs/>
      <w:sz w:val="44"/>
      <w:szCs w:val="44"/>
    </w:rPr>
  </w:style>
  <w:style w:type="paragraph" w:styleId="1126">
    <w:name w:val="标题 211"/>
    <w:basedOn w:val="821"/>
    <w:next w:val="1015"/>
    <w:link w:val="1125"/>
    <w:qFormat/>
    <w:pPr>
      <w:jc w:val="center"/>
      <w:keepLines/>
      <w:keepNext/>
      <w:spacing w:before="260" w:after="260" w:line="416" w:lineRule="auto"/>
      <w:outlineLvl w:val="1"/>
    </w:pPr>
    <w:rPr>
      <w:rFonts w:ascii="Arial" w:hAnsi="Arial" w:eastAsia="方正幼线_GBK" w:cs="Arial"/>
      <w:b/>
      <w:bCs/>
      <w:sz w:val="44"/>
      <w:szCs w:val="44"/>
    </w:rPr>
  </w:style>
  <w:style w:type="paragraph" w:styleId="1127">
    <w:name w:val="正文首行缩进11"/>
    <w:basedOn w:val="1128"/>
    <w:next w:val="1127"/>
    <w:link w:val="821"/>
    <w:qFormat/>
    <w:pPr>
      <w:ind w:firstLine="200"/>
      <w:spacing w:line="360" w:lineRule="auto"/>
    </w:pPr>
    <w:rPr>
      <w:rFonts w:ascii="仿宋_GB2312" w:hAnsi="Times New Roman" w:eastAsia="仿宋_GB2312"/>
      <w:sz w:val="30"/>
      <w:szCs w:val="30"/>
    </w:rPr>
  </w:style>
  <w:style w:type="paragraph" w:styleId="1128">
    <w:name w:val="正文文本11"/>
    <w:basedOn w:val="821"/>
    <w:next w:val="821"/>
    <w:link w:val="821"/>
    <w:qFormat/>
    <w:rPr>
      <w:rFonts w:ascii="楷体_GB2312" w:hAnsi="Arial" w:eastAsia="楷体_GB2312"/>
      <w:sz w:val="28"/>
      <w:szCs w:val="28"/>
      <w:lang w:eastAsia="en-US"/>
    </w:rPr>
  </w:style>
  <w:style w:type="table" w:styleId="1129">
    <w:name w:val="Table Normal"/>
    <w:next w:val="1129"/>
    <w:link w:val="821"/>
    <w:unhideWhenUsed/>
    <w:qFormat/>
    <w:rPr>
      <w:lang w:val="en-US" w:eastAsia="zh-CN" w:bidi="ar-SA"/>
    </w:rPr>
    <w:tblPr/>
  </w:style>
  <w:style w:type="paragraph" w:styleId="1130">
    <w:name w:val="Default"/>
    <w:next w:val="1130"/>
    <w:link w:val="821"/>
    <w:uiPriority w:val="99"/>
    <w:qFormat/>
    <w:pPr>
      <w:widowControl w:val="off"/>
    </w:pPr>
    <w:rPr>
      <w:rFonts w:ascii="Microsoft JhengHei Light" w:hAnsi="Calibri"/>
      <w:color w:val="000000"/>
      <w:sz w:val="21"/>
      <w:szCs w:val="24"/>
      <w:lang w:val="en-US" w:eastAsia="zh-CN" w:bidi="ar-SA"/>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5</cp:revision>
  <dcterms:created xsi:type="dcterms:W3CDTF">2023-03-16T02:13:00Z</dcterms:created>
  <dcterms:modified xsi:type="dcterms:W3CDTF">2026-08-06T10:19:03Z</dcterms:modified>
</cp:coreProperties>
</file>